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A5009" w14:textId="77777777" w:rsidR="008D7166" w:rsidRDefault="008D7166">
      <w:pPr>
        <w:widowControl w:val="0"/>
        <w:spacing w:after="0" w:line="240" w:lineRule="auto"/>
        <w:jc w:val="both"/>
        <w:rPr>
          <w:rFonts w:ascii="Arial" w:eastAsia="Arial" w:hAnsi="Arial" w:cs="Arial"/>
          <w:b/>
        </w:rPr>
      </w:pPr>
      <w:bookmarkStart w:id="0" w:name="_heading=h.u2qkqrxr82p4" w:colFirst="0" w:colLast="0"/>
      <w:bookmarkStart w:id="1" w:name="_GoBack"/>
      <w:bookmarkEnd w:id="0"/>
      <w:bookmarkEnd w:id="1"/>
    </w:p>
    <w:p w14:paraId="1F077CD5" w14:textId="77777777" w:rsidR="00366A72" w:rsidRDefault="00366A72">
      <w:pPr>
        <w:widowControl w:val="0"/>
        <w:spacing w:after="0" w:line="240" w:lineRule="auto"/>
        <w:jc w:val="both"/>
        <w:rPr>
          <w:rFonts w:ascii="Arial" w:eastAsia="Arial" w:hAnsi="Arial" w:cs="Arial"/>
          <w:b/>
        </w:rPr>
      </w:pPr>
    </w:p>
    <w:p w14:paraId="0290D63C" w14:textId="77777777" w:rsidR="00366A72" w:rsidRDefault="00366A72">
      <w:pPr>
        <w:widowControl w:val="0"/>
        <w:spacing w:after="0" w:line="240" w:lineRule="auto"/>
        <w:jc w:val="both"/>
        <w:rPr>
          <w:rFonts w:ascii="Arial" w:eastAsia="Arial" w:hAnsi="Arial" w:cs="Arial"/>
          <w:b/>
        </w:rPr>
      </w:pPr>
    </w:p>
    <w:p w14:paraId="433D0167" w14:textId="77777777" w:rsidR="00366A72" w:rsidRDefault="00366A72">
      <w:pPr>
        <w:widowControl w:val="0"/>
        <w:spacing w:after="0" w:line="240" w:lineRule="auto"/>
        <w:jc w:val="both"/>
        <w:rPr>
          <w:rFonts w:ascii="Arial" w:eastAsia="Arial" w:hAnsi="Arial" w:cs="Arial"/>
          <w:b/>
        </w:rPr>
      </w:pPr>
    </w:p>
    <w:p w14:paraId="168D680D" w14:textId="77777777" w:rsidR="008D7166" w:rsidRDefault="00233308">
      <w:pPr>
        <w:widowControl w:val="0"/>
        <w:spacing w:after="0" w:line="240" w:lineRule="auto"/>
        <w:jc w:val="both"/>
        <w:rPr>
          <w:rFonts w:ascii="Arial" w:eastAsia="Arial" w:hAnsi="Arial" w:cs="Arial"/>
          <w:b/>
        </w:rPr>
      </w:pPr>
      <w:bookmarkStart w:id="2" w:name="_heading=h.gjdgxs" w:colFirst="0" w:colLast="0"/>
      <w:bookmarkEnd w:id="2"/>
      <w:r>
        <w:rPr>
          <w:rFonts w:ascii="Arial" w:eastAsia="Arial" w:hAnsi="Arial" w:cs="Arial"/>
          <w:b/>
        </w:rPr>
        <w:t>Bogotá D.C., 14 de junio del 2024</w:t>
      </w:r>
    </w:p>
    <w:p w14:paraId="49DD7B16" w14:textId="77777777" w:rsidR="008D7166" w:rsidRDefault="008D7166">
      <w:pPr>
        <w:widowControl w:val="0"/>
        <w:spacing w:after="0" w:line="240" w:lineRule="auto"/>
        <w:jc w:val="both"/>
        <w:rPr>
          <w:rFonts w:ascii="Arial" w:eastAsia="Arial" w:hAnsi="Arial" w:cs="Arial"/>
          <w:b/>
        </w:rPr>
      </w:pPr>
      <w:bookmarkStart w:id="3" w:name="_heading=h.7bca3angn87j" w:colFirst="0" w:colLast="0"/>
      <w:bookmarkEnd w:id="3"/>
    </w:p>
    <w:p w14:paraId="50C7D5F4" w14:textId="77777777" w:rsidR="008D7166" w:rsidRDefault="00233308">
      <w:pPr>
        <w:widowControl w:val="0"/>
        <w:spacing w:after="0" w:line="240" w:lineRule="auto"/>
        <w:jc w:val="both"/>
        <w:rPr>
          <w:rFonts w:ascii="Arial" w:eastAsia="Arial" w:hAnsi="Arial" w:cs="Arial"/>
        </w:rPr>
      </w:pPr>
      <w:bookmarkStart w:id="4" w:name="_heading=h.vd456xssqu8p" w:colFirst="0" w:colLast="0"/>
      <w:bookmarkEnd w:id="4"/>
      <w:r>
        <w:rPr>
          <w:rFonts w:ascii="Arial" w:eastAsia="Arial" w:hAnsi="Arial" w:cs="Arial"/>
        </w:rPr>
        <w:t>Honorable Congresista</w:t>
      </w:r>
    </w:p>
    <w:p w14:paraId="1D67DF1D" w14:textId="77777777" w:rsidR="008D7166" w:rsidRDefault="00233308">
      <w:pPr>
        <w:widowControl w:val="0"/>
        <w:spacing w:after="0" w:line="240" w:lineRule="auto"/>
        <w:jc w:val="both"/>
        <w:rPr>
          <w:rFonts w:ascii="Arial" w:eastAsia="Arial" w:hAnsi="Arial" w:cs="Arial"/>
          <w:b/>
        </w:rPr>
      </w:pPr>
      <w:bookmarkStart w:id="5" w:name="_heading=h.v81qt6cgr9hg" w:colFirst="0" w:colLast="0"/>
      <w:bookmarkEnd w:id="5"/>
      <w:r>
        <w:rPr>
          <w:rFonts w:ascii="Arial" w:eastAsia="Arial" w:hAnsi="Arial" w:cs="Arial"/>
          <w:b/>
        </w:rPr>
        <w:t xml:space="preserve">IVÁN LEONIDAS NAME VÁSQUEZ </w:t>
      </w:r>
    </w:p>
    <w:p w14:paraId="34E71D79" w14:textId="77777777" w:rsidR="008D7166" w:rsidRDefault="00233308">
      <w:pPr>
        <w:widowControl w:val="0"/>
        <w:spacing w:after="0" w:line="240" w:lineRule="auto"/>
        <w:jc w:val="both"/>
        <w:rPr>
          <w:rFonts w:ascii="Arial" w:eastAsia="Arial" w:hAnsi="Arial" w:cs="Arial"/>
        </w:rPr>
      </w:pPr>
      <w:bookmarkStart w:id="6" w:name="_heading=h.pabmyp2rwl39" w:colFirst="0" w:colLast="0"/>
      <w:bookmarkEnd w:id="6"/>
      <w:r>
        <w:rPr>
          <w:rFonts w:ascii="Arial" w:eastAsia="Arial" w:hAnsi="Arial" w:cs="Arial"/>
        </w:rPr>
        <w:t xml:space="preserve">Presidente Senado de la República </w:t>
      </w:r>
    </w:p>
    <w:p w14:paraId="21627ECE" w14:textId="77777777" w:rsidR="008D7166" w:rsidRDefault="008D7166">
      <w:pPr>
        <w:widowControl w:val="0"/>
        <w:spacing w:after="0" w:line="240" w:lineRule="auto"/>
        <w:jc w:val="both"/>
        <w:rPr>
          <w:rFonts w:ascii="Arial" w:eastAsia="Arial" w:hAnsi="Arial" w:cs="Arial"/>
        </w:rPr>
      </w:pPr>
      <w:bookmarkStart w:id="7" w:name="_heading=h.ft4so1peu1mu" w:colFirst="0" w:colLast="0"/>
      <w:bookmarkEnd w:id="7"/>
    </w:p>
    <w:p w14:paraId="5AA76220" w14:textId="77777777" w:rsidR="008D7166" w:rsidRDefault="00233308">
      <w:pPr>
        <w:widowControl w:val="0"/>
        <w:spacing w:after="0" w:line="240" w:lineRule="auto"/>
        <w:jc w:val="both"/>
        <w:rPr>
          <w:rFonts w:ascii="Arial" w:eastAsia="Arial" w:hAnsi="Arial" w:cs="Arial"/>
        </w:rPr>
      </w:pPr>
      <w:bookmarkStart w:id="8" w:name="_heading=h.wc0kecpa7ymt" w:colFirst="0" w:colLast="0"/>
      <w:bookmarkEnd w:id="8"/>
      <w:r>
        <w:rPr>
          <w:rFonts w:ascii="Arial" w:eastAsia="Arial" w:hAnsi="Arial" w:cs="Arial"/>
          <w:b/>
        </w:rPr>
        <w:t>ANDRES DAVID CALLE AGUAS</w:t>
      </w:r>
      <w:r>
        <w:rPr>
          <w:rFonts w:ascii="Arial" w:eastAsia="Arial" w:hAnsi="Arial" w:cs="Arial"/>
        </w:rPr>
        <w:t xml:space="preserve"> </w:t>
      </w:r>
    </w:p>
    <w:p w14:paraId="626C55CA" w14:textId="77777777" w:rsidR="008D7166" w:rsidRDefault="00233308">
      <w:pPr>
        <w:widowControl w:val="0"/>
        <w:spacing w:after="0" w:line="240" w:lineRule="auto"/>
        <w:jc w:val="both"/>
        <w:rPr>
          <w:rFonts w:ascii="Arial" w:eastAsia="Arial" w:hAnsi="Arial" w:cs="Arial"/>
        </w:rPr>
      </w:pPr>
      <w:bookmarkStart w:id="9" w:name="_heading=h.ub79qr30v4lp" w:colFirst="0" w:colLast="0"/>
      <w:bookmarkEnd w:id="9"/>
      <w:r>
        <w:rPr>
          <w:rFonts w:ascii="Arial" w:eastAsia="Arial" w:hAnsi="Arial" w:cs="Arial"/>
        </w:rPr>
        <w:t xml:space="preserve">Presidente Cámara de Representantes </w:t>
      </w:r>
    </w:p>
    <w:p w14:paraId="7124235C" w14:textId="77777777" w:rsidR="008D7166" w:rsidRDefault="00233308">
      <w:pPr>
        <w:widowControl w:val="0"/>
        <w:spacing w:after="0" w:line="240" w:lineRule="auto"/>
        <w:jc w:val="both"/>
        <w:rPr>
          <w:rFonts w:ascii="Arial" w:eastAsia="Arial" w:hAnsi="Arial" w:cs="Arial"/>
        </w:rPr>
      </w:pPr>
      <w:bookmarkStart w:id="10" w:name="_heading=h.tjyknp8szhij" w:colFirst="0" w:colLast="0"/>
      <w:bookmarkEnd w:id="10"/>
      <w:r>
        <w:rPr>
          <w:rFonts w:ascii="Arial" w:eastAsia="Arial" w:hAnsi="Arial" w:cs="Arial"/>
        </w:rPr>
        <w:t xml:space="preserve">Ciudad </w:t>
      </w:r>
    </w:p>
    <w:p w14:paraId="126D7FBA" w14:textId="77777777" w:rsidR="008D7166" w:rsidRDefault="008D7166">
      <w:pPr>
        <w:widowControl w:val="0"/>
        <w:spacing w:after="0" w:line="240" w:lineRule="auto"/>
        <w:jc w:val="both"/>
        <w:rPr>
          <w:rFonts w:ascii="Arial" w:eastAsia="Arial" w:hAnsi="Arial" w:cs="Arial"/>
        </w:rPr>
      </w:pPr>
      <w:bookmarkStart w:id="11" w:name="_heading=h.u9pjx44exss9" w:colFirst="0" w:colLast="0"/>
      <w:bookmarkEnd w:id="11"/>
    </w:p>
    <w:p w14:paraId="0DC9CD6D" w14:textId="77777777" w:rsidR="008D7166" w:rsidRDefault="00233308">
      <w:pPr>
        <w:widowControl w:val="0"/>
        <w:spacing w:after="0" w:line="240" w:lineRule="auto"/>
        <w:ind w:left="720"/>
        <w:jc w:val="both"/>
        <w:rPr>
          <w:rFonts w:ascii="Arial" w:eastAsia="Arial" w:hAnsi="Arial" w:cs="Arial"/>
          <w:i/>
        </w:rPr>
      </w:pPr>
      <w:bookmarkStart w:id="12" w:name="_heading=h.3ywkc9t48tgn" w:colFirst="0" w:colLast="0"/>
      <w:bookmarkEnd w:id="12"/>
      <w:r>
        <w:rPr>
          <w:rFonts w:ascii="Arial" w:eastAsia="Arial" w:hAnsi="Arial" w:cs="Arial"/>
          <w:b/>
        </w:rPr>
        <w:t>REF:</w:t>
      </w:r>
      <w:r>
        <w:rPr>
          <w:rFonts w:ascii="Arial" w:eastAsia="Arial" w:hAnsi="Arial" w:cs="Arial"/>
        </w:rPr>
        <w:t xml:space="preserve"> Informe de conciliación al Proyecto de Ley No. 401/2023 CÁMARA y 174/2023 SENADO </w:t>
      </w:r>
      <w:r>
        <w:rPr>
          <w:rFonts w:ascii="Arial" w:eastAsia="Arial" w:hAnsi="Arial" w:cs="Arial"/>
          <w:i/>
        </w:rPr>
        <w:t>“Por medio del cual se promueve la competencia justa en el sector financiero y se dictan otras disposiciones”.</w:t>
      </w:r>
    </w:p>
    <w:p w14:paraId="11DA93AF" w14:textId="77777777" w:rsidR="008D7166" w:rsidRDefault="008D7166">
      <w:pPr>
        <w:widowControl w:val="0"/>
        <w:spacing w:after="0" w:line="240" w:lineRule="auto"/>
        <w:jc w:val="both"/>
        <w:rPr>
          <w:rFonts w:ascii="Arial" w:eastAsia="Arial" w:hAnsi="Arial" w:cs="Arial"/>
        </w:rPr>
      </w:pPr>
      <w:bookmarkStart w:id="13" w:name="_heading=h.mut2is51h3au" w:colFirst="0" w:colLast="0"/>
      <w:bookmarkEnd w:id="13"/>
    </w:p>
    <w:p w14:paraId="09606630" w14:textId="77777777" w:rsidR="008D7166" w:rsidRDefault="00233308">
      <w:pPr>
        <w:widowControl w:val="0"/>
        <w:spacing w:after="0" w:line="240" w:lineRule="auto"/>
        <w:jc w:val="both"/>
        <w:rPr>
          <w:rFonts w:ascii="Arial" w:eastAsia="Arial" w:hAnsi="Arial" w:cs="Arial"/>
        </w:rPr>
      </w:pPr>
      <w:bookmarkStart w:id="14" w:name="_heading=h.9i6onrwo7s8g" w:colFirst="0" w:colLast="0"/>
      <w:bookmarkEnd w:id="14"/>
      <w:r>
        <w:rPr>
          <w:rFonts w:ascii="Arial" w:eastAsia="Arial" w:hAnsi="Arial" w:cs="Arial"/>
        </w:rPr>
        <w:t>En atención a lo dispuesto por el artículo 161 de la Constituc</w:t>
      </w:r>
      <w:r>
        <w:rPr>
          <w:rFonts w:ascii="Arial" w:eastAsia="Arial" w:hAnsi="Arial" w:cs="Arial"/>
        </w:rPr>
        <w:t>ión Política y los artículos 186, 187 y 188 de la Ley 5 de 1992, y la honrosa designación que nos hicieran las Mesas Directivas de ambas células legislativas como integrantes de la Comisión Accidental de Conciliación, de manera atenta, nos permitimos rendi</w:t>
      </w:r>
      <w:r>
        <w:rPr>
          <w:rFonts w:ascii="Arial" w:eastAsia="Arial" w:hAnsi="Arial" w:cs="Arial"/>
        </w:rPr>
        <w:t>r informe de conciliación sobre el Proyecto de Ley de la referencia bajo los siguientes términos.</w:t>
      </w:r>
    </w:p>
    <w:p w14:paraId="523CE919" w14:textId="77777777" w:rsidR="008D7166" w:rsidRDefault="008D7166">
      <w:pPr>
        <w:widowControl w:val="0"/>
        <w:spacing w:after="0" w:line="240" w:lineRule="auto"/>
        <w:jc w:val="both"/>
        <w:rPr>
          <w:rFonts w:ascii="Arial" w:eastAsia="Arial" w:hAnsi="Arial" w:cs="Arial"/>
        </w:rPr>
      </w:pPr>
      <w:bookmarkStart w:id="15" w:name="_heading=h.to3re5ldf0sd" w:colFirst="0" w:colLast="0"/>
      <w:bookmarkEnd w:id="15"/>
    </w:p>
    <w:p w14:paraId="05C73DA0" w14:textId="2CADC009" w:rsidR="008D7166" w:rsidRDefault="008D7166">
      <w:pPr>
        <w:widowControl w:val="0"/>
        <w:spacing w:after="0" w:line="240" w:lineRule="auto"/>
        <w:jc w:val="both"/>
        <w:rPr>
          <w:rFonts w:ascii="Arial" w:eastAsia="Arial" w:hAnsi="Arial" w:cs="Arial"/>
        </w:rPr>
      </w:pPr>
      <w:bookmarkStart w:id="16" w:name="_heading=h.38i005ys5z4q" w:colFirst="0" w:colLast="0"/>
      <w:bookmarkEnd w:id="16"/>
    </w:p>
    <w:p w14:paraId="4793D8EC" w14:textId="669E427C" w:rsidR="008D7166" w:rsidRPr="009B43D6" w:rsidRDefault="00233308">
      <w:pPr>
        <w:widowControl w:val="0"/>
        <w:spacing w:after="0" w:line="240" w:lineRule="auto"/>
        <w:jc w:val="both"/>
        <w:rPr>
          <w:rFonts w:ascii="Arial" w:eastAsia="Arial" w:hAnsi="Arial" w:cs="Arial"/>
          <w:b/>
          <w:bCs/>
        </w:rPr>
      </w:pPr>
      <w:bookmarkStart w:id="17" w:name="_heading=h.fqdmxotc2uy" w:colFirst="0" w:colLast="0"/>
      <w:bookmarkEnd w:id="17"/>
      <w:r>
        <w:rPr>
          <w:rFonts w:ascii="Arial" w:eastAsia="Arial" w:hAnsi="Arial" w:cs="Arial"/>
        </w:rPr>
        <w:t>Cordialmente:</w:t>
      </w:r>
      <w:r w:rsidR="009B43D6" w:rsidRPr="009B43D6">
        <w:rPr>
          <w:rFonts w:ascii="Arial" w:hAnsi="Arial" w:cs="Arial"/>
          <w:noProof/>
        </w:rPr>
        <w:t xml:space="preserve"> </w:t>
      </w:r>
    </w:p>
    <w:p w14:paraId="0DF5BF9D" w14:textId="4786D776" w:rsidR="008D7166" w:rsidRDefault="008D7166">
      <w:pPr>
        <w:widowControl w:val="0"/>
        <w:spacing w:after="0" w:line="240" w:lineRule="auto"/>
        <w:jc w:val="both"/>
        <w:rPr>
          <w:rFonts w:ascii="Arial" w:eastAsia="Arial" w:hAnsi="Arial" w:cs="Arial"/>
        </w:rPr>
      </w:pPr>
    </w:p>
    <w:tbl>
      <w:tblPr>
        <w:tblStyle w:val="a5"/>
        <w:tblW w:w="883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20"/>
      </w:tblGrid>
      <w:tr w:rsidR="008D7166" w14:paraId="2C79667E" w14:textId="77777777">
        <w:tc>
          <w:tcPr>
            <w:tcW w:w="4419" w:type="dxa"/>
            <w:shd w:val="clear" w:color="auto" w:fill="auto"/>
            <w:tcMar>
              <w:top w:w="100" w:type="dxa"/>
              <w:left w:w="100" w:type="dxa"/>
              <w:bottom w:w="100" w:type="dxa"/>
              <w:right w:w="100" w:type="dxa"/>
            </w:tcMar>
          </w:tcPr>
          <w:p w14:paraId="27C49066" w14:textId="75AA5A33" w:rsidR="008D7166" w:rsidRDefault="008D7166">
            <w:pPr>
              <w:widowControl w:val="0"/>
              <w:spacing w:after="0" w:line="240" w:lineRule="auto"/>
              <w:rPr>
                <w:rFonts w:ascii="Arial" w:eastAsia="Arial" w:hAnsi="Arial" w:cs="Arial"/>
                <w:b/>
              </w:rPr>
            </w:pPr>
          </w:p>
          <w:p w14:paraId="3AE472E5" w14:textId="2F2B7659" w:rsidR="008D7166" w:rsidRDefault="008D7166">
            <w:pPr>
              <w:widowControl w:val="0"/>
              <w:spacing w:after="0" w:line="240" w:lineRule="auto"/>
              <w:jc w:val="center"/>
              <w:rPr>
                <w:rFonts w:ascii="Arial" w:eastAsia="Arial" w:hAnsi="Arial" w:cs="Arial"/>
                <w:b/>
              </w:rPr>
            </w:pPr>
          </w:p>
          <w:p w14:paraId="7C45AA12" w14:textId="77777777" w:rsidR="00041DB8" w:rsidRDefault="00041DB8">
            <w:pPr>
              <w:widowControl w:val="0"/>
              <w:spacing w:after="0" w:line="240" w:lineRule="auto"/>
              <w:jc w:val="center"/>
              <w:rPr>
                <w:rFonts w:ascii="Arial" w:eastAsia="Arial" w:hAnsi="Arial" w:cs="Arial"/>
                <w:b/>
              </w:rPr>
            </w:pPr>
          </w:p>
          <w:p w14:paraId="48124815" w14:textId="77777777" w:rsidR="00041DB8" w:rsidRDefault="00041DB8">
            <w:pPr>
              <w:widowControl w:val="0"/>
              <w:spacing w:after="0" w:line="240" w:lineRule="auto"/>
              <w:jc w:val="center"/>
              <w:rPr>
                <w:rFonts w:ascii="Arial" w:eastAsia="Arial" w:hAnsi="Arial" w:cs="Arial"/>
                <w:b/>
              </w:rPr>
            </w:pPr>
          </w:p>
          <w:p w14:paraId="69188CDC" w14:textId="77777777" w:rsidR="008D7166" w:rsidRDefault="00233308">
            <w:pPr>
              <w:widowControl w:val="0"/>
              <w:spacing w:after="0" w:line="240" w:lineRule="auto"/>
              <w:jc w:val="center"/>
              <w:rPr>
                <w:rFonts w:ascii="Arial" w:eastAsia="Arial" w:hAnsi="Arial" w:cs="Arial"/>
                <w:b/>
              </w:rPr>
            </w:pPr>
            <w:r>
              <w:rPr>
                <w:rFonts w:ascii="Arial" w:eastAsia="Arial" w:hAnsi="Arial" w:cs="Arial"/>
                <w:b/>
              </w:rPr>
              <w:t>ÓSCAR DARÍO PÉREZ PINEDA</w:t>
            </w:r>
          </w:p>
          <w:p w14:paraId="6DE0D3AC" w14:textId="77777777" w:rsidR="008D7166" w:rsidRDefault="00233308">
            <w:pPr>
              <w:widowControl w:val="0"/>
              <w:spacing w:after="0" w:line="240" w:lineRule="auto"/>
              <w:jc w:val="center"/>
              <w:rPr>
                <w:rFonts w:ascii="Arial" w:eastAsia="Arial" w:hAnsi="Arial" w:cs="Arial"/>
                <w:b/>
              </w:rPr>
            </w:pPr>
            <w:r>
              <w:rPr>
                <w:rFonts w:ascii="Arial" w:eastAsia="Arial" w:hAnsi="Arial" w:cs="Arial"/>
                <w:b/>
              </w:rPr>
              <w:t>Representante a la Cámara</w:t>
            </w:r>
          </w:p>
        </w:tc>
        <w:tc>
          <w:tcPr>
            <w:tcW w:w="4419" w:type="dxa"/>
            <w:shd w:val="clear" w:color="auto" w:fill="auto"/>
            <w:tcMar>
              <w:top w:w="100" w:type="dxa"/>
              <w:left w:w="100" w:type="dxa"/>
              <w:bottom w:w="100" w:type="dxa"/>
              <w:right w:w="100" w:type="dxa"/>
            </w:tcMar>
          </w:tcPr>
          <w:p w14:paraId="65256212" w14:textId="77777777" w:rsidR="008D7166" w:rsidRDefault="008D7166">
            <w:pPr>
              <w:widowControl w:val="0"/>
              <w:spacing w:after="0" w:line="240" w:lineRule="auto"/>
              <w:jc w:val="center"/>
              <w:rPr>
                <w:rFonts w:ascii="Arial" w:eastAsia="Arial" w:hAnsi="Arial" w:cs="Arial"/>
                <w:b/>
              </w:rPr>
            </w:pPr>
          </w:p>
          <w:p w14:paraId="66303EA7" w14:textId="77777777" w:rsidR="008D7166" w:rsidRDefault="008D7166">
            <w:pPr>
              <w:widowControl w:val="0"/>
              <w:spacing w:after="0" w:line="240" w:lineRule="auto"/>
              <w:jc w:val="center"/>
              <w:rPr>
                <w:rFonts w:ascii="Arial" w:eastAsia="Arial" w:hAnsi="Arial" w:cs="Arial"/>
                <w:b/>
              </w:rPr>
            </w:pPr>
          </w:p>
          <w:p w14:paraId="63E07F02" w14:textId="77777777" w:rsidR="008D7166" w:rsidRDefault="008D7166">
            <w:pPr>
              <w:widowControl w:val="0"/>
              <w:spacing w:after="0" w:line="240" w:lineRule="auto"/>
              <w:jc w:val="center"/>
              <w:rPr>
                <w:rFonts w:ascii="Arial" w:eastAsia="Arial" w:hAnsi="Arial" w:cs="Arial"/>
                <w:b/>
              </w:rPr>
            </w:pPr>
          </w:p>
          <w:p w14:paraId="3675509C" w14:textId="77777777" w:rsidR="008D7166" w:rsidRDefault="008D7166">
            <w:pPr>
              <w:widowControl w:val="0"/>
              <w:spacing w:after="0" w:line="240" w:lineRule="auto"/>
              <w:jc w:val="center"/>
              <w:rPr>
                <w:rFonts w:ascii="Arial" w:eastAsia="Arial" w:hAnsi="Arial" w:cs="Arial"/>
                <w:b/>
              </w:rPr>
            </w:pPr>
          </w:p>
          <w:p w14:paraId="4DA24531" w14:textId="77777777" w:rsidR="008D7166" w:rsidRDefault="00233308">
            <w:pPr>
              <w:widowControl w:val="0"/>
              <w:spacing w:after="0" w:line="240" w:lineRule="auto"/>
              <w:jc w:val="center"/>
              <w:rPr>
                <w:rFonts w:ascii="Arial" w:eastAsia="Arial" w:hAnsi="Arial" w:cs="Arial"/>
                <w:b/>
              </w:rPr>
            </w:pPr>
            <w:r>
              <w:rPr>
                <w:rFonts w:ascii="Arial" w:eastAsia="Arial" w:hAnsi="Arial" w:cs="Arial"/>
                <w:b/>
              </w:rPr>
              <w:t>SONIA SHIRLEY BERNAL SÁNCHEZ</w:t>
            </w:r>
          </w:p>
          <w:p w14:paraId="65453E71" w14:textId="53802222" w:rsidR="008D7166" w:rsidRDefault="00233308">
            <w:pPr>
              <w:widowControl w:val="0"/>
              <w:spacing w:after="0" w:line="240" w:lineRule="auto"/>
              <w:jc w:val="center"/>
              <w:rPr>
                <w:rFonts w:ascii="Arial" w:eastAsia="Arial" w:hAnsi="Arial" w:cs="Arial"/>
                <w:b/>
              </w:rPr>
            </w:pPr>
            <w:r>
              <w:rPr>
                <w:rFonts w:ascii="Arial" w:eastAsia="Arial" w:hAnsi="Arial" w:cs="Arial"/>
                <w:b/>
              </w:rPr>
              <w:t>Senadora de la República</w:t>
            </w:r>
          </w:p>
        </w:tc>
      </w:tr>
    </w:tbl>
    <w:p w14:paraId="485DC9C3" w14:textId="77777777" w:rsidR="008D7166" w:rsidRDefault="008D7166">
      <w:pPr>
        <w:widowControl w:val="0"/>
        <w:spacing w:after="0" w:line="240" w:lineRule="auto"/>
        <w:jc w:val="both"/>
        <w:rPr>
          <w:rFonts w:ascii="Arial" w:eastAsia="Arial" w:hAnsi="Arial" w:cs="Arial"/>
        </w:rPr>
      </w:pPr>
    </w:p>
    <w:p w14:paraId="51121D73" w14:textId="77777777" w:rsidR="008D7166" w:rsidRDefault="008D7166">
      <w:pPr>
        <w:widowControl w:val="0"/>
        <w:spacing w:after="0" w:line="240" w:lineRule="auto"/>
        <w:jc w:val="both"/>
        <w:rPr>
          <w:rFonts w:ascii="Arial" w:eastAsia="Arial" w:hAnsi="Arial" w:cs="Arial"/>
        </w:rPr>
      </w:pPr>
      <w:bookmarkStart w:id="18" w:name="_heading=h.9v7yff58zr4" w:colFirst="0" w:colLast="0"/>
      <w:bookmarkEnd w:id="18"/>
    </w:p>
    <w:p w14:paraId="3F0095ED" w14:textId="77777777" w:rsidR="008D7166" w:rsidRDefault="008D7166">
      <w:pPr>
        <w:widowControl w:val="0"/>
        <w:spacing w:after="0" w:line="240" w:lineRule="auto"/>
        <w:jc w:val="both"/>
        <w:rPr>
          <w:rFonts w:ascii="Arial" w:eastAsia="Arial" w:hAnsi="Arial" w:cs="Arial"/>
        </w:rPr>
      </w:pPr>
      <w:bookmarkStart w:id="19" w:name="_heading=h.5geovmkptsfl" w:colFirst="0" w:colLast="0"/>
      <w:bookmarkEnd w:id="19"/>
    </w:p>
    <w:p w14:paraId="14847413" w14:textId="77777777" w:rsidR="008D7166" w:rsidRDefault="008D7166">
      <w:pPr>
        <w:widowControl w:val="0"/>
        <w:spacing w:after="0" w:line="240" w:lineRule="auto"/>
        <w:jc w:val="both"/>
        <w:rPr>
          <w:rFonts w:ascii="Arial" w:eastAsia="Arial" w:hAnsi="Arial" w:cs="Arial"/>
        </w:rPr>
      </w:pPr>
      <w:bookmarkStart w:id="20" w:name="_heading=h.lfp6llaw3uy7" w:colFirst="0" w:colLast="0"/>
      <w:bookmarkEnd w:id="20"/>
    </w:p>
    <w:p w14:paraId="3865C19D" w14:textId="77777777" w:rsidR="008D7166" w:rsidRDefault="008D7166">
      <w:pPr>
        <w:widowControl w:val="0"/>
        <w:spacing w:after="0" w:line="240" w:lineRule="auto"/>
        <w:jc w:val="both"/>
        <w:rPr>
          <w:rFonts w:ascii="Arial" w:eastAsia="Arial" w:hAnsi="Arial" w:cs="Arial"/>
        </w:rPr>
      </w:pPr>
      <w:bookmarkStart w:id="21" w:name="_heading=h.vlix66n8tpfy" w:colFirst="0" w:colLast="0"/>
      <w:bookmarkEnd w:id="21"/>
    </w:p>
    <w:p w14:paraId="32C16D2B" w14:textId="77777777" w:rsidR="008D7166" w:rsidRDefault="008D7166">
      <w:pPr>
        <w:widowControl w:val="0"/>
        <w:spacing w:after="0" w:line="240" w:lineRule="auto"/>
        <w:jc w:val="both"/>
        <w:rPr>
          <w:rFonts w:ascii="Arial" w:eastAsia="Arial" w:hAnsi="Arial" w:cs="Arial"/>
        </w:rPr>
      </w:pPr>
      <w:bookmarkStart w:id="22" w:name="_heading=h.3vj939tc1c6s" w:colFirst="0" w:colLast="0"/>
      <w:bookmarkEnd w:id="22"/>
    </w:p>
    <w:p w14:paraId="4185C8E3" w14:textId="77777777" w:rsidR="008D7166" w:rsidRDefault="008D7166">
      <w:pPr>
        <w:widowControl w:val="0"/>
        <w:spacing w:after="0" w:line="240" w:lineRule="auto"/>
        <w:jc w:val="both"/>
        <w:rPr>
          <w:rFonts w:ascii="Arial" w:eastAsia="Arial" w:hAnsi="Arial" w:cs="Arial"/>
        </w:rPr>
      </w:pPr>
      <w:bookmarkStart w:id="23" w:name="_heading=h.5awoib7ok0vm" w:colFirst="0" w:colLast="0"/>
      <w:bookmarkEnd w:id="23"/>
    </w:p>
    <w:p w14:paraId="44788422" w14:textId="77777777" w:rsidR="008D7166" w:rsidRDefault="008D7166">
      <w:pPr>
        <w:widowControl w:val="0"/>
        <w:spacing w:after="0" w:line="240" w:lineRule="auto"/>
        <w:jc w:val="both"/>
        <w:rPr>
          <w:rFonts w:ascii="Arial" w:eastAsia="Arial" w:hAnsi="Arial" w:cs="Arial"/>
        </w:rPr>
      </w:pPr>
      <w:bookmarkStart w:id="24" w:name="_heading=h.shkdmyic6be9" w:colFirst="0" w:colLast="0"/>
      <w:bookmarkEnd w:id="24"/>
    </w:p>
    <w:p w14:paraId="5E71D3C2" w14:textId="77777777" w:rsidR="008D7166" w:rsidRDefault="008D7166">
      <w:pPr>
        <w:widowControl w:val="0"/>
        <w:spacing w:after="0" w:line="240" w:lineRule="auto"/>
        <w:jc w:val="both"/>
        <w:rPr>
          <w:rFonts w:ascii="Arial" w:eastAsia="Arial" w:hAnsi="Arial" w:cs="Arial"/>
        </w:rPr>
      </w:pPr>
      <w:bookmarkStart w:id="25" w:name="_heading=h.w1ujxmyffq0d" w:colFirst="0" w:colLast="0"/>
      <w:bookmarkEnd w:id="25"/>
    </w:p>
    <w:p w14:paraId="4FD59749" w14:textId="77777777" w:rsidR="008D7166" w:rsidRDefault="008D7166">
      <w:pPr>
        <w:widowControl w:val="0"/>
        <w:spacing w:after="0" w:line="240" w:lineRule="auto"/>
        <w:jc w:val="both"/>
        <w:rPr>
          <w:rFonts w:ascii="Arial" w:eastAsia="Arial" w:hAnsi="Arial" w:cs="Arial"/>
        </w:rPr>
      </w:pPr>
      <w:bookmarkStart w:id="26" w:name="_heading=h.bf1nzxwsvpj2" w:colFirst="0" w:colLast="0"/>
      <w:bookmarkEnd w:id="26"/>
    </w:p>
    <w:p w14:paraId="5019B53E" w14:textId="77777777" w:rsidR="008D7166" w:rsidRDefault="008D7166">
      <w:pPr>
        <w:widowControl w:val="0"/>
        <w:spacing w:after="0" w:line="240" w:lineRule="auto"/>
        <w:jc w:val="both"/>
        <w:rPr>
          <w:rFonts w:ascii="Arial" w:eastAsia="Arial" w:hAnsi="Arial" w:cs="Arial"/>
        </w:rPr>
      </w:pPr>
      <w:bookmarkStart w:id="27" w:name="_heading=h.6ofkmiobf0g9" w:colFirst="0" w:colLast="0"/>
      <w:bookmarkEnd w:id="27"/>
    </w:p>
    <w:p w14:paraId="054AF0AE" w14:textId="77777777" w:rsidR="008D7166" w:rsidRDefault="008D7166">
      <w:pPr>
        <w:widowControl w:val="0"/>
        <w:spacing w:after="0" w:line="240" w:lineRule="auto"/>
        <w:jc w:val="both"/>
        <w:rPr>
          <w:rFonts w:ascii="Arial" w:eastAsia="Arial" w:hAnsi="Arial" w:cs="Arial"/>
        </w:rPr>
      </w:pPr>
      <w:bookmarkStart w:id="28" w:name="_heading=h.8rynxlmnabxa" w:colFirst="0" w:colLast="0"/>
      <w:bookmarkEnd w:id="28"/>
    </w:p>
    <w:p w14:paraId="26FFFEEE" w14:textId="77777777" w:rsidR="008D7166" w:rsidRDefault="008D7166">
      <w:pPr>
        <w:widowControl w:val="0"/>
        <w:spacing w:after="0" w:line="240" w:lineRule="auto"/>
        <w:jc w:val="both"/>
        <w:rPr>
          <w:rFonts w:ascii="Arial" w:eastAsia="Arial" w:hAnsi="Arial" w:cs="Arial"/>
        </w:rPr>
      </w:pPr>
      <w:bookmarkStart w:id="29" w:name="_heading=h.keq9752qstjm" w:colFirst="0" w:colLast="0"/>
      <w:bookmarkEnd w:id="29"/>
    </w:p>
    <w:p w14:paraId="45E3C162" w14:textId="77777777" w:rsidR="008D7166" w:rsidRDefault="008D7166">
      <w:pPr>
        <w:widowControl w:val="0"/>
        <w:spacing w:after="0" w:line="240" w:lineRule="auto"/>
        <w:jc w:val="both"/>
        <w:rPr>
          <w:rFonts w:ascii="Arial" w:eastAsia="Arial" w:hAnsi="Arial" w:cs="Arial"/>
        </w:rPr>
      </w:pPr>
      <w:bookmarkStart w:id="30" w:name="_heading=h.31sjsd6t0vfb" w:colFirst="0" w:colLast="0"/>
      <w:bookmarkEnd w:id="30"/>
    </w:p>
    <w:p w14:paraId="4D7EAD09" w14:textId="77777777" w:rsidR="008D7166" w:rsidRDefault="008D7166">
      <w:pPr>
        <w:widowControl w:val="0"/>
        <w:spacing w:after="0" w:line="240" w:lineRule="auto"/>
        <w:jc w:val="both"/>
        <w:rPr>
          <w:rFonts w:ascii="Arial" w:eastAsia="Arial" w:hAnsi="Arial" w:cs="Arial"/>
        </w:rPr>
      </w:pPr>
      <w:bookmarkStart w:id="31" w:name="_heading=h.2v62tr3fgcfw" w:colFirst="0" w:colLast="0"/>
      <w:bookmarkEnd w:id="31"/>
    </w:p>
    <w:p w14:paraId="0FC10358" w14:textId="77777777" w:rsidR="008D7166" w:rsidRDefault="008D7166">
      <w:pPr>
        <w:widowControl w:val="0"/>
        <w:spacing w:after="0" w:line="240" w:lineRule="auto"/>
        <w:jc w:val="both"/>
        <w:rPr>
          <w:rFonts w:ascii="Arial" w:eastAsia="Arial" w:hAnsi="Arial" w:cs="Arial"/>
        </w:rPr>
      </w:pPr>
      <w:bookmarkStart w:id="32" w:name="_heading=h.6hqacioagd05" w:colFirst="0" w:colLast="0"/>
      <w:bookmarkEnd w:id="32"/>
    </w:p>
    <w:p w14:paraId="3F9BB06C" w14:textId="77777777" w:rsidR="008D7166" w:rsidRDefault="008D7166">
      <w:pPr>
        <w:widowControl w:val="0"/>
        <w:spacing w:after="0" w:line="240" w:lineRule="auto"/>
        <w:jc w:val="both"/>
        <w:rPr>
          <w:rFonts w:ascii="Arial" w:eastAsia="Arial" w:hAnsi="Arial" w:cs="Arial"/>
        </w:rPr>
      </w:pPr>
      <w:bookmarkStart w:id="33" w:name="_heading=h.cvprefdc00dl" w:colFirst="0" w:colLast="0"/>
      <w:bookmarkStart w:id="34" w:name="_heading=h.xgkck2q6eu9o" w:colFirst="0" w:colLast="0"/>
      <w:bookmarkStart w:id="35" w:name="_heading=h.p0zgih37qmox" w:colFirst="0" w:colLast="0"/>
      <w:bookmarkEnd w:id="33"/>
      <w:bookmarkEnd w:id="34"/>
      <w:bookmarkEnd w:id="35"/>
    </w:p>
    <w:p w14:paraId="52CC0762" w14:textId="77777777" w:rsidR="008D7166" w:rsidRDefault="008D7166">
      <w:pPr>
        <w:widowControl w:val="0"/>
        <w:spacing w:after="0" w:line="240" w:lineRule="auto"/>
        <w:jc w:val="center"/>
        <w:rPr>
          <w:rFonts w:ascii="Arial" w:eastAsia="Arial" w:hAnsi="Arial" w:cs="Arial"/>
          <w:b/>
        </w:rPr>
      </w:pPr>
      <w:bookmarkStart w:id="36" w:name="_heading=h.10qhfydmck2q" w:colFirst="0" w:colLast="0"/>
      <w:bookmarkEnd w:id="36"/>
    </w:p>
    <w:p w14:paraId="784426DF" w14:textId="77777777" w:rsidR="008D7166" w:rsidRDefault="00233308">
      <w:pPr>
        <w:widowControl w:val="0"/>
        <w:spacing w:after="0" w:line="240" w:lineRule="auto"/>
        <w:jc w:val="center"/>
        <w:rPr>
          <w:rFonts w:ascii="Arial" w:eastAsia="Arial" w:hAnsi="Arial" w:cs="Arial"/>
          <w:b/>
        </w:rPr>
      </w:pPr>
      <w:bookmarkStart w:id="37" w:name="_heading=h.ksw8yet3d9kk" w:colFirst="0" w:colLast="0"/>
      <w:bookmarkEnd w:id="37"/>
      <w:r>
        <w:rPr>
          <w:rFonts w:ascii="Arial" w:eastAsia="Arial" w:hAnsi="Arial" w:cs="Arial"/>
          <w:b/>
        </w:rPr>
        <w:t xml:space="preserve">INFORME </w:t>
      </w:r>
      <w:r>
        <w:rPr>
          <w:rFonts w:ascii="Arial" w:eastAsia="Arial" w:hAnsi="Arial" w:cs="Arial"/>
          <w:b/>
        </w:rPr>
        <w:t>DE CONCILIACIÓN AL PROYECTO DE LEY NO. 401 DE 2023 CÁMARA Y 174 DE 2023 SENADO</w:t>
      </w:r>
    </w:p>
    <w:p w14:paraId="699424E8" w14:textId="77777777" w:rsidR="008D7166" w:rsidRDefault="008D7166">
      <w:pPr>
        <w:widowControl w:val="0"/>
        <w:spacing w:after="0" w:line="240" w:lineRule="auto"/>
        <w:jc w:val="center"/>
        <w:rPr>
          <w:rFonts w:ascii="Arial" w:eastAsia="Arial" w:hAnsi="Arial" w:cs="Arial"/>
          <w:b/>
        </w:rPr>
      </w:pPr>
      <w:bookmarkStart w:id="38" w:name="_heading=h.r1u165dtilq8" w:colFirst="0" w:colLast="0"/>
      <w:bookmarkEnd w:id="38"/>
    </w:p>
    <w:p w14:paraId="7358C7B2" w14:textId="77777777" w:rsidR="008D7166" w:rsidRDefault="00233308">
      <w:pPr>
        <w:widowControl w:val="0"/>
        <w:spacing w:after="0" w:line="240" w:lineRule="auto"/>
        <w:jc w:val="center"/>
        <w:rPr>
          <w:rFonts w:ascii="Arial" w:eastAsia="Arial" w:hAnsi="Arial" w:cs="Arial"/>
          <w:b/>
        </w:rPr>
      </w:pPr>
      <w:bookmarkStart w:id="39" w:name="_heading=h.v2euixhmrbw0" w:colFirst="0" w:colLast="0"/>
      <w:bookmarkEnd w:id="39"/>
      <w:r>
        <w:rPr>
          <w:rFonts w:ascii="Arial" w:eastAsia="Arial" w:hAnsi="Arial" w:cs="Arial"/>
          <w:b/>
        </w:rPr>
        <w:t>“POR MEDIO DEL CUAL SE PROMUEVE LA COMPETENCIA JUSTA EN EL SECTOR FINANCIERO Y SE DICTAN OTRAS DISPOSICIONES”</w:t>
      </w:r>
    </w:p>
    <w:p w14:paraId="2FF1FBB0" w14:textId="77777777" w:rsidR="008D7166" w:rsidRDefault="008D7166">
      <w:pPr>
        <w:widowControl w:val="0"/>
        <w:spacing w:after="0" w:line="240" w:lineRule="auto"/>
        <w:jc w:val="center"/>
        <w:rPr>
          <w:rFonts w:ascii="Arial" w:eastAsia="Arial" w:hAnsi="Arial" w:cs="Arial"/>
          <w:b/>
        </w:rPr>
      </w:pPr>
      <w:bookmarkStart w:id="40" w:name="_heading=h.7i9eym83iinf" w:colFirst="0" w:colLast="0"/>
      <w:bookmarkEnd w:id="40"/>
    </w:p>
    <w:p w14:paraId="71516AB9" w14:textId="42685645" w:rsidR="008D7166" w:rsidRDefault="00233308">
      <w:pPr>
        <w:widowControl w:val="0"/>
        <w:spacing w:after="0" w:line="240" w:lineRule="auto"/>
        <w:jc w:val="both"/>
        <w:rPr>
          <w:rFonts w:ascii="Arial" w:eastAsia="Arial" w:hAnsi="Arial" w:cs="Arial"/>
          <w:color w:val="333333"/>
        </w:rPr>
      </w:pPr>
      <w:bookmarkStart w:id="41" w:name="_heading=h.kj4gzidg4igj" w:colFirst="0" w:colLast="0"/>
      <w:bookmarkEnd w:id="41"/>
      <w:r>
        <w:rPr>
          <w:rFonts w:ascii="Arial" w:eastAsia="Arial" w:hAnsi="Arial" w:cs="Arial"/>
        </w:rPr>
        <w:t xml:space="preserve">El Proyecto de Ley 401 de 2023 Cámara fue radicado el día 19 de abril de 2024 en la Secretaría General de la Cámara de Representantes por los H.R David Alejandro Toro Ramírez, </w:t>
      </w:r>
      <w:r w:rsidR="00B00C6C">
        <w:rPr>
          <w:rFonts w:ascii="Arial" w:eastAsia="Arial" w:hAnsi="Arial" w:cs="Arial"/>
        </w:rPr>
        <w:t>Heráclito</w:t>
      </w:r>
      <w:r>
        <w:rPr>
          <w:rFonts w:ascii="Arial" w:eastAsia="Arial" w:hAnsi="Arial" w:cs="Arial"/>
        </w:rPr>
        <w:t xml:space="preserve"> Landinez </w:t>
      </w:r>
      <w:r w:rsidR="00B00C6C">
        <w:rPr>
          <w:rFonts w:ascii="Arial" w:eastAsia="Arial" w:hAnsi="Arial" w:cs="Arial"/>
        </w:rPr>
        <w:t>Suárez, John</w:t>
      </w:r>
      <w:r>
        <w:rPr>
          <w:rFonts w:ascii="Arial" w:eastAsia="Arial" w:hAnsi="Arial" w:cs="Arial"/>
        </w:rPr>
        <w:t xml:space="preserve"> Jairo González Agudelo, Mary Anne Andrea </w:t>
      </w:r>
      <w:hyperlink r:id="rId7">
        <w:r>
          <w:rPr>
            <w:rFonts w:ascii="Arial" w:eastAsia="Arial" w:hAnsi="Arial" w:cs="Arial"/>
            <w:color w:val="111111"/>
          </w:rPr>
          <w:t>Perdomo</w:t>
        </w:r>
      </w:hyperlink>
      <w:r>
        <w:rPr>
          <w:rFonts w:ascii="Arial" w:eastAsia="Arial" w:hAnsi="Arial" w:cs="Arial"/>
          <w:color w:val="333333"/>
        </w:rPr>
        <w:t xml:space="preserve">, </w:t>
      </w:r>
      <w:hyperlink r:id="rId8">
        <w:r>
          <w:rPr>
            <w:rFonts w:ascii="Arial" w:eastAsia="Arial" w:hAnsi="Arial" w:cs="Arial"/>
            <w:color w:val="111111"/>
          </w:rPr>
          <w:t>Carmen Felisa Ramírez Boscán</w:t>
        </w:r>
      </w:hyperlink>
      <w:r>
        <w:rPr>
          <w:rFonts w:ascii="Arial" w:eastAsia="Arial" w:hAnsi="Arial" w:cs="Arial"/>
          <w:color w:val="333333"/>
        </w:rPr>
        <w:t xml:space="preserve"> , </w:t>
      </w:r>
      <w:hyperlink r:id="rId9">
        <w:r>
          <w:rPr>
            <w:rFonts w:ascii="Arial" w:eastAsia="Arial" w:hAnsi="Arial" w:cs="Arial"/>
            <w:color w:val="111111"/>
          </w:rPr>
          <w:t>Jorge Alejandro Ocampo Giraldo</w:t>
        </w:r>
      </w:hyperlink>
      <w:r>
        <w:rPr>
          <w:rFonts w:ascii="Arial" w:eastAsia="Arial" w:hAnsi="Arial" w:cs="Arial"/>
          <w:color w:val="333333"/>
        </w:rPr>
        <w:t xml:space="preserve">, María del Mar Pizarro García, Etna Tamara Argote Calderón, </w:t>
      </w:r>
      <w:hyperlink r:id="rId10">
        <w:r>
          <w:rPr>
            <w:rFonts w:ascii="Arial" w:eastAsia="Arial" w:hAnsi="Arial" w:cs="Arial"/>
            <w:color w:val="111111"/>
          </w:rPr>
          <w:t xml:space="preserve">David Ricardo Racero </w:t>
        </w:r>
        <w:proofErr w:type="spellStart"/>
        <w:r>
          <w:rPr>
            <w:rFonts w:ascii="Arial" w:eastAsia="Arial" w:hAnsi="Arial" w:cs="Arial"/>
            <w:color w:val="111111"/>
          </w:rPr>
          <w:t>Mayorca</w:t>
        </w:r>
        <w:proofErr w:type="spellEnd"/>
      </w:hyperlink>
      <w:r>
        <w:rPr>
          <w:rFonts w:ascii="Arial" w:eastAsia="Arial" w:hAnsi="Arial" w:cs="Arial"/>
          <w:color w:val="333333"/>
        </w:rPr>
        <w:t xml:space="preserve">, </w:t>
      </w:r>
      <w:hyperlink r:id="rId11">
        <w:r>
          <w:rPr>
            <w:rFonts w:ascii="Arial" w:eastAsia="Arial" w:hAnsi="Arial" w:cs="Arial"/>
            <w:color w:val="111111"/>
          </w:rPr>
          <w:t xml:space="preserve">Gabriel Becerra </w:t>
        </w:r>
        <w:r w:rsidR="00B00C6C">
          <w:rPr>
            <w:rFonts w:ascii="Arial" w:eastAsia="Arial" w:hAnsi="Arial" w:cs="Arial"/>
            <w:color w:val="111111"/>
          </w:rPr>
          <w:t>Yáñez</w:t>
        </w:r>
      </w:hyperlink>
      <w:r>
        <w:rPr>
          <w:rFonts w:ascii="Arial" w:eastAsia="Arial" w:hAnsi="Arial" w:cs="Arial"/>
          <w:color w:val="333333"/>
        </w:rPr>
        <w:t xml:space="preserve">, </w:t>
      </w:r>
      <w:hyperlink r:id="rId12">
        <w:r>
          <w:rPr>
            <w:rFonts w:ascii="Arial" w:eastAsia="Arial" w:hAnsi="Arial" w:cs="Arial"/>
            <w:color w:val="111111"/>
          </w:rPr>
          <w:t>Juan Carlos Vargas Soler</w:t>
        </w:r>
      </w:hyperlink>
      <w:r>
        <w:rPr>
          <w:rFonts w:ascii="Arial" w:eastAsia="Arial" w:hAnsi="Arial" w:cs="Arial"/>
          <w:color w:val="333333"/>
        </w:rPr>
        <w:t xml:space="preserve">, </w:t>
      </w:r>
      <w:hyperlink r:id="rId13">
        <w:r>
          <w:rPr>
            <w:rFonts w:ascii="Arial" w:eastAsia="Arial" w:hAnsi="Arial" w:cs="Arial"/>
            <w:color w:val="111111"/>
          </w:rPr>
          <w:t>Karen Juliana López Salazar</w:t>
        </w:r>
      </w:hyperlink>
      <w:r>
        <w:rPr>
          <w:rFonts w:ascii="Arial" w:eastAsia="Arial" w:hAnsi="Arial" w:cs="Arial"/>
          <w:color w:val="333333"/>
        </w:rPr>
        <w:t xml:space="preserve">, María Fernanda Carrascal Rojas, </w:t>
      </w:r>
      <w:hyperlink r:id="rId14">
        <w:r>
          <w:rPr>
            <w:rFonts w:ascii="Arial" w:eastAsia="Arial" w:hAnsi="Arial" w:cs="Arial"/>
            <w:color w:val="111111"/>
          </w:rPr>
          <w:t>Hernando González</w:t>
        </w:r>
      </w:hyperlink>
      <w:r>
        <w:rPr>
          <w:rFonts w:ascii="Arial" w:eastAsia="Arial" w:hAnsi="Arial" w:cs="Arial"/>
          <w:color w:val="333333"/>
        </w:rPr>
        <w:t>, Gloria Elena Arizabaleta Corral, Jorge Hernán Bastidas</w:t>
      </w:r>
      <w:r>
        <w:rPr>
          <w:rFonts w:ascii="Arial" w:eastAsia="Arial" w:hAnsi="Arial" w:cs="Arial"/>
          <w:color w:val="333333"/>
        </w:rPr>
        <w:t xml:space="preserve"> Rosero, Ingrid Johana Aguirre Juvinao, Gabriel Ernesto Parrado Durán, William Ferney Aljure Martínez y los H.S Alex Xavier Flórez Hernández, Gloria Inés Flórez Schneider, Yuly Esmeralda Hernández Silva, Martha Isabel Peralta </w:t>
      </w:r>
      <w:proofErr w:type="spellStart"/>
      <w:r>
        <w:rPr>
          <w:rFonts w:ascii="Arial" w:eastAsia="Arial" w:hAnsi="Arial" w:cs="Arial"/>
          <w:color w:val="333333"/>
        </w:rPr>
        <w:t>Epieyu</w:t>
      </w:r>
      <w:proofErr w:type="spellEnd"/>
      <w:r>
        <w:rPr>
          <w:rFonts w:ascii="Arial" w:eastAsia="Arial" w:hAnsi="Arial" w:cs="Arial"/>
          <w:color w:val="333333"/>
        </w:rPr>
        <w:t xml:space="preserve"> y Robert Daza Guevara.</w:t>
      </w:r>
    </w:p>
    <w:p w14:paraId="5B78289A" w14:textId="77777777" w:rsidR="008D7166" w:rsidRDefault="008D7166">
      <w:pPr>
        <w:widowControl w:val="0"/>
        <w:spacing w:after="0" w:line="240" w:lineRule="auto"/>
        <w:jc w:val="both"/>
        <w:rPr>
          <w:rFonts w:ascii="Arial" w:eastAsia="Arial" w:hAnsi="Arial" w:cs="Arial"/>
          <w:color w:val="333333"/>
        </w:rPr>
      </w:pPr>
      <w:bookmarkStart w:id="42" w:name="_heading=h.hi607rey6qde" w:colFirst="0" w:colLast="0"/>
      <w:bookmarkEnd w:id="42"/>
    </w:p>
    <w:p w14:paraId="2BBA7D47" w14:textId="77777777" w:rsidR="008D7166" w:rsidRDefault="00233308">
      <w:pPr>
        <w:widowControl w:val="0"/>
        <w:spacing w:after="0" w:line="240" w:lineRule="auto"/>
        <w:jc w:val="both"/>
        <w:rPr>
          <w:rFonts w:ascii="Arial" w:eastAsia="Arial" w:hAnsi="Arial" w:cs="Arial"/>
          <w:color w:val="333333"/>
        </w:rPr>
      </w:pPr>
      <w:bookmarkStart w:id="43" w:name="_heading=h.9fqiqemlevfn" w:colFirst="0" w:colLast="0"/>
      <w:bookmarkEnd w:id="43"/>
      <w:r>
        <w:rPr>
          <w:rFonts w:ascii="Arial" w:eastAsia="Arial" w:hAnsi="Arial" w:cs="Arial"/>
          <w:color w:val="333333"/>
        </w:rPr>
        <w:t xml:space="preserve">El proyecto radicado fue publicado en la Gaceta del Congreso No. 390 de 2023, se nombró como ponentes para primer debate en la Comisión Tercera de la Cámara de Representantes a los H.R Óscar Darío Pérez Pineda (coordinador), José Alberto Tejada Echeverry </w:t>
      </w:r>
      <w:r>
        <w:rPr>
          <w:rFonts w:ascii="Arial" w:eastAsia="Arial" w:hAnsi="Arial" w:cs="Arial"/>
          <w:color w:val="333333"/>
        </w:rPr>
        <w:t xml:space="preserve">(coordinador), </w:t>
      </w:r>
      <w:proofErr w:type="spellStart"/>
      <w:r>
        <w:rPr>
          <w:rFonts w:ascii="Arial" w:eastAsia="Arial" w:hAnsi="Arial" w:cs="Arial"/>
          <w:color w:val="333333"/>
        </w:rPr>
        <w:t>Wadith</w:t>
      </w:r>
      <w:proofErr w:type="spellEnd"/>
      <w:r>
        <w:rPr>
          <w:rFonts w:ascii="Arial" w:eastAsia="Arial" w:hAnsi="Arial" w:cs="Arial"/>
          <w:color w:val="333333"/>
        </w:rPr>
        <w:t xml:space="preserve"> Alberto </w:t>
      </w:r>
      <w:proofErr w:type="spellStart"/>
      <w:r>
        <w:rPr>
          <w:rFonts w:ascii="Arial" w:eastAsia="Arial" w:hAnsi="Arial" w:cs="Arial"/>
          <w:color w:val="333333"/>
        </w:rPr>
        <w:t>Manzur</w:t>
      </w:r>
      <w:proofErr w:type="spellEnd"/>
      <w:r>
        <w:rPr>
          <w:rFonts w:ascii="Arial" w:eastAsia="Arial" w:hAnsi="Arial" w:cs="Arial"/>
          <w:color w:val="333333"/>
        </w:rPr>
        <w:t xml:space="preserve"> </w:t>
      </w:r>
      <w:proofErr w:type="spellStart"/>
      <w:r>
        <w:rPr>
          <w:rFonts w:ascii="Arial" w:eastAsia="Arial" w:hAnsi="Arial" w:cs="Arial"/>
          <w:color w:val="333333"/>
        </w:rPr>
        <w:t>Imbett</w:t>
      </w:r>
      <w:proofErr w:type="spellEnd"/>
      <w:r>
        <w:rPr>
          <w:rFonts w:ascii="Arial" w:eastAsia="Arial" w:hAnsi="Arial" w:cs="Arial"/>
          <w:color w:val="333333"/>
        </w:rPr>
        <w:t xml:space="preserve"> y Wilder Iberson Escobar Ortiz. </w:t>
      </w:r>
    </w:p>
    <w:p w14:paraId="2C64E4C3" w14:textId="77777777" w:rsidR="008D7166" w:rsidRDefault="008D7166">
      <w:pPr>
        <w:widowControl w:val="0"/>
        <w:spacing w:after="0" w:line="240" w:lineRule="auto"/>
        <w:jc w:val="both"/>
        <w:rPr>
          <w:rFonts w:ascii="Arial" w:eastAsia="Arial" w:hAnsi="Arial" w:cs="Arial"/>
          <w:color w:val="333333"/>
        </w:rPr>
      </w:pPr>
      <w:bookmarkStart w:id="44" w:name="_heading=h.raehirtgvc64" w:colFirst="0" w:colLast="0"/>
      <w:bookmarkEnd w:id="44"/>
    </w:p>
    <w:p w14:paraId="35A8C9C2" w14:textId="77777777" w:rsidR="008D7166" w:rsidRDefault="00233308">
      <w:pPr>
        <w:widowControl w:val="0"/>
        <w:spacing w:after="0" w:line="240" w:lineRule="auto"/>
        <w:jc w:val="both"/>
        <w:rPr>
          <w:rFonts w:ascii="Arial" w:eastAsia="Arial" w:hAnsi="Arial" w:cs="Arial"/>
          <w:color w:val="333333"/>
        </w:rPr>
      </w:pPr>
      <w:bookmarkStart w:id="45" w:name="_heading=h.ldqbfvdpv95v" w:colFirst="0" w:colLast="0"/>
      <w:bookmarkEnd w:id="45"/>
      <w:r>
        <w:rPr>
          <w:rFonts w:ascii="Arial" w:eastAsia="Arial" w:hAnsi="Arial" w:cs="Arial"/>
          <w:color w:val="333333"/>
        </w:rPr>
        <w:t>La ponencia para primer debate fue publicada en la Gaceta del Congreso No. 579 de 2023, fue debatido y aprobado por la Comisión Tercera de la Cámara de Representantes el día 20 d</w:t>
      </w:r>
      <w:r>
        <w:rPr>
          <w:rFonts w:ascii="Arial" w:eastAsia="Arial" w:hAnsi="Arial" w:cs="Arial"/>
          <w:color w:val="333333"/>
        </w:rPr>
        <w:t>e junio de 2023, siendo nombrados los mismos ponentes para segundo debate.</w:t>
      </w:r>
    </w:p>
    <w:p w14:paraId="2750E4CE" w14:textId="77777777" w:rsidR="008D7166" w:rsidRDefault="008D7166">
      <w:pPr>
        <w:widowControl w:val="0"/>
        <w:spacing w:after="0" w:line="240" w:lineRule="auto"/>
        <w:jc w:val="both"/>
        <w:rPr>
          <w:rFonts w:ascii="Arial" w:eastAsia="Arial" w:hAnsi="Arial" w:cs="Arial"/>
          <w:color w:val="333333"/>
        </w:rPr>
      </w:pPr>
      <w:bookmarkStart w:id="46" w:name="_heading=h.bsv1dljxjp0r" w:colFirst="0" w:colLast="0"/>
      <w:bookmarkEnd w:id="46"/>
    </w:p>
    <w:p w14:paraId="656677B1" w14:textId="77777777" w:rsidR="008D7166" w:rsidRDefault="00233308">
      <w:pPr>
        <w:widowControl w:val="0"/>
        <w:spacing w:after="0" w:line="240" w:lineRule="auto"/>
        <w:jc w:val="both"/>
        <w:rPr>
          <w:rFonts w:ascii="Arial" w:eastAsia="Arial" w:hAnsi="Arial" w:cs="Arial"/>
          <w:color w:val="333333"/>
        </w:rPr>
      </w:pPr>
      <w:bookmarkStart w:id="47" w:name="_heading=h.7rp7l8ufvip2" w:colFirst="0" w:colLast="0"/>
      <w:bookmarkEnd w:id="47"/>
      <w:r>
        <w:rPr>
          <w:rFonts w:ascii="Arial" w:eastAsia="Arial" w:hAnsi="Arial" w:cs="Arial"/>
          <w:color w:val="333333"/>
        </w:rPr>
        <w:t>La ponencia para segundo debate en la Cámara de Representantes fue publicada en la Gaceta del Congreso No. 1112 de 2023, siendo debatido y aprobado el proyecto por la Plenaria de l</w:t>
      </w:r>
      <w:r>
        <w:rPr>
          <w:rFonts w:ascii="Arial" w:eastAsia="Arial" w:hAnsi="Arial" w:cs="Arial"/>
          <w:color w:val="333333"/>
        </w:rPr>
        <w:t xml:space="preserve">a Cámara de Representantes el día 26 de septiembre de 2023. </w:t>
      </w:r>
    </w:p>
    <w:p w14:paraId="270ABEBC" w14:textId="77777777" w:rsidR="008D7166" w:rsidRDefault="008D7166">
      <w:pPr>
        <w:widowControl w:val="0"/>
        <w:spacing w:after="0" w:line="240" w:lineRule="auto"/>
        <w:jc w:val="both"/>
        <w:rPr>
          <w:rFonts w:ascii="Arial" w:eastAsia="Arial" w:hAnsi="Arial" w:cs="Arial"/>
          <w:color w:val="333333"/>
        </w:rPr>
      </w:pPr>
      <w:bookmarkStart w:id="48" w:name="_heading=h.5oibodk9yp9d" w:colFirst="0" w:colLast="0"/>
      <w:bookmarkEnd w:id="48"/>
    </w:p>
    <w:p w14:paraId="6243E852" w14:textId="77777777" w:rsidR="008D7166" w:rsidRDefault="00233308">
      <w:pPr>
        <w:widowControl w:val="0"/>
        <w:spacing w:after="0" w:line="240" w:lineRule="auto"/>
        <w:jc w:val="both"/>
        <w:rPr>
          <w:rFonts w:ascii="Arial" w:eastAsia="Arial" w:hAnsi="Arial" w:cs="Arial"/>
          <w:color w:val="333333"/>
        </w:rPr>
      </w:pPr>
      <w:bookmarkStart w:id="49" w:name="_heading=h.8rgps6il0ugz" w:colFirst="0" w:colLast="0"/>
      <w:bookmarkEnd w:id="49"/>
      <w:r>
        <w:rPr>
          <w:rFonts w:ascii="Arial" w:eastAsia="Arial" w:hAnsi="Arial" w:cs="Arial"/>
          <w:color w:val="333333"/>
        </w:rPr>
        <w:t>El texto definitivo aprobado por la Cámara de Representantes, publicado en la Gaceta del Congreso 1411 de 2023 es el siguiente:</w:t>
      </w:r>
      <w:r>
        <w:rPr>
          <w:rFonts w:ascii="Arial" w:eastAsia="Arial" w:hAnsi="Arial" w:cs="Arial"/>
          <w:color w:val="333333"/>
        </w:rPr>
        <w:br/>
      </w:r>
    </w:p>
    <w:p w14:paraId="365CAC07" w14:textId="77777777" w:rsidR="00B00C6C" w:rsidRDefault="00B00C6C">
      <w:pPr>
        <w:widowControl w:val="0"/>
        <w:spacing w:after="0" w:line="240" w:lineRule="auto"/>
        <w:ind w:left="720"/>
        <w:jc w:val="center"/>
        <w:rPr>
          <w:rFonts w:ascii="Arial" w:eastAsia="Arial" w:hAnsi="Arial" w:cs="Arial"/>
          <w:b/>
          <w:color w:val="333333"/>
        </w:rPr>
      </w:pPr>
    </w:p>
    <w:p w14:paraId="6AE8F3D8" w14:textId="77777777" w:rsidR="00B00C6C" w:rsidRDefault="00B00C6C" w:rsidP="00B00C6C">
      <w:pPr>
        <w:widowControl w:val="0"/>
        <w:spacing w:after="0" w:line="240" w:lineRule="auto"/>
        <w:ind w:left="720"/>
        <w:jc w:val="center"/>
        <w:rPr>
          <w:rFonts w:ascii="Arial" w:eastAsia="Arial" w:hAnsi="Arial" w:cs="Arial"/>
          <w:b/>
          <w:color w:val="333333"/>
        </w:rPr>
      </w:pPr>
    </w:p>
    <w:p w14:paraId="62346A34" w14:textId="636D314D" w:rsidR="008D7166" w:rsidRDefault="00233308" w:rsidP="00B00C6C">
      <w:pPr>
        <w:widowControl w:val="0"/>
        <w:spacing w:after="0" w:line="240" w:lineRule="auto"/>
        <w:jc w:val="center"/>
        <w:rPr>
          <w:rFonts w:ascii="Arial" w:eastAsia="Arial" w:hAnsi="Arial" w:cs="Arial"/>
          <w:b/>
          <w:color w:val="333333"/>
        </w:rPr>
      </w:pPr>
      <w:r>
        <w:rPr>
          <w:rFonts w:ascii="Arial" w:eastAsia="Arial" w:hAnsi="Arial" w:cs="Arial"/>
          <w:b/>
          <w:color w:val="333333"/>
        </w:rPr>
        <w:t xml:space="preserve">Por medio del cual se promueve la competencia justa en el </w:t>
      </w:r>
      <w:r>
        <w:rPr>
          <w:rFonts w:ascii="Arial" w:eastAsia="Arial" w:hAnsi="Arial" w:cs="Arial"/>
          <w:b/>
          <w:color w:val="333333"/>
        </w:rPr>
        <w:t>sector financiero y se dictan otras disposiciones.</w:t>
      </w:r>
    </w:p>
    <w:p w14:paraId="0FDB339F" w14:textId="77777777" w:rsidR="008D7166" w:rsidRDefault="008D7166">
      <w:pPr>
        <w:widowControl w:val="0"/>
        <w:spacing w:after="0" w:line="240" w:lineRule="auto"/>
        <w:ind w:left="720"/>
        <w:jc w:val="center"/>
        <w:rPr>
          <w:rFonts w:ascii="Arial" w:eastAsia="Arial" w:hAnsi="Arial" w:cs="Arial"/>
          <w:b/>
          <w:color w:val="333333"/>
        </w:rPr>
      </w:pPr>
    </w:p>
    <w:p w14:paraId="67580F5C" w14:textId="77777777" w:rsidR="008D7166" w:rsidRDefault="00233308">
      <w:pPr>
        <w:widowControl w:val="0"/>
        <w:spacing w:after="0" w:line="240" w:lineRule="auto"/>
        <w:ind w:left="720"/>
        <w:jc w:val="center"/>
        <w:rPr>
          <w:rFonts w:ascii="Arial" w:eastAsia="Arial" w:hAnsi="Arial" w:cs="Arial"/>
          <w:b/>
          <w:color w:val="333333"/>
        </w:rPr>
      </w:pPr>
      <w:r>
        <w:rPr>
          <w:rFonts w:ascii="Arial" w:eastAsia="Arial" w:hAnsi="Arial" w:cs="Arial"/>
          <w:b/>
          <w:color w:val="333333"/>
        </w:rPr>
        <w:t xml:space="preserve">El Congreso de Colombia </w:t>
      </w:r>
    </w:p>
    <w:p w14:paraId="385229E5" w14:textId="77777777" w:rsidR="008D7166" w:rsidRDefault="008D7166">
      <w:pPr>
        <w:widowControl w:val="0"/>
        <w:spacing w:after="0" w:line="240" w:lineRule="auto"/>
        <w:ind w:left="720"/>
        <w:jc w:val="center"/>
        <w:rPr>
          <w:rFonts w:ascii="Arial" w:eastAsia="Arial" w:hAnsi="Arial" w:cs="Arial"/>
          <w:b/>
          <w:color w:val="333333"/>
        </w:rPr>
      </w:pPr>
    </w:p>
    <w:p w14:paraId="431DF821" w14:textId="77777777" w:rsidR="008D7166" w:rsidRDefault="00233308">
      <w:pPr>
        <w:widowControl w:val="0"/>
        <w:spacing w:after="0" w:line="240" w:lineRule="auto"/>
        <w:ind w:left="720"/>
        <w:jc w:val="center"/>
        <w:rPr>
          <w:rFonts w:ascii="Arial" w:eastAsia="Arial" w:hAnsi="Arial" w:cs="Arial"/>
          <w:b/>
          <w:color w:val="333333"/>
        </w:rPr>
      </w:pPr>
      <w:r>
        <w:rPr>
          <w:rFonts w:ascii="Arial" w:eastAsia="Arial" w:hAnsi="Arial" w:cs="Arial"/>
          <w:b/>
          <w:color w:val="333333"/>
        </w:rPr>
        <w:t>DECRETA:</w:t>
      </w:r>
    </w:p>
    <w:p w14:paraId="6FC4DDD5" w14:textId="77777777" w:rsidR="008D7166" w:rsidRDefault="008D7166">
      <w:pPr>
        <w:widowControl w:val="0"/>
        <w:spacing w:after="0" w:line="240" w:lineRule="auto"/>
        <w:ind w:left="720"/>
        <w:jc w:val="both"/>
        <w:rPr>
          <w:rFonts w:ascii="Arial" w:eastAsia="Arial" w:hAnsi="Arial" w:cs="Arial"/>
          <w:color w:val="333333"/>
        </w:rPr>
      </w:pPr>
      <w:bookmarkStart w:id="50" w:name="_heading=h.17y0larcd6il" w:colFirst="0" w:colLast="0"/>
      <w:bookmarkEnd w:id="50"/>
    </w:p>
    <w:p w14:paraId="6E7F1808" w14:textId="77777777" w:rsidR="008D7166" w:rsidRDefault="00233308">
      <w:pPr>
        <w:widowControl w:val="0"/>
        <w:spacing w:after="0" w:line="240" w:lineRule="auto"/>
        <w:ind w:left="720"/>
        <w:jc w:val="both"/>
        <w:rPr>
          <w:rFonts w:ascii="Arial" w:eastAsia="Arial" w:hAnsi="Arial" w:cs="Arial"/>
          <w:color w:val="333333"/>
        </w:rPr>
      </w:pPr>
      <w:r>
        <w:rPr>
          <w:rFonts w:ascii="Arial" w:eastAsia="Arial" w:hAnsi="Arial" w:cs="Arial"/>
          <w:b/>
          <w:color w:val="333333"/>
        </w:rPr>
        <w:t>Artículo 1°. Objeto.</w:t>
      </w:r>
      <w:r>
        <w:rPr>
          <w:rFonts w:ascii="Arial" w:eastAsia="Arial" w:hAnsi="Arial" w:cs="Arial"/>
          <w:color w:val="333333"/>
        </w:rPr>
        <w:t xml:space="preserve"> La presente ley busca promover condiciones de libertad e igualdad para las entidades financieras en la competencia de este sector, permitiendo que </w:t>
      </w:r>
      <w:r>
        <w:rPr>
          <w:rFonts w:ascii="Arial" w:eastAsia="Arial" w:hAnsi="Arial" w:cs="Arial"/>
          <w:color w:val="333333"/>
        </w:rPr>
        <w:t xml:space="preserve">todas las entidades de naturaleza financiera puedan ofrecer sus servicios a cualquier entidad territorial y a las descentralizadas de estas que deseen invertir sus recursos de excedentes de liquidez. </w:t>
      </w:r>
    </w:p>
    <w:p w14:paraId="1CC9DB14" w14:textId="77777777" w:rsidR="008D7166" w:rsidRDefault="008D7166">
      <w:pPr>
        <w:widowControl w:val="0"/>
        <w:spacing w:after="0" w:line="240" w:lineRule="auto"/>
        <w:ind w:left="720"/>
        <w:jc w:val="both"/>
        <w:rPr>
          <w:rFonts w:ascii="Arial" w:eastAsia="Arial" w:hAnsi="Arial" w:cs="Arial"/>
          <w:color w:val="333333"/>
        </w:rPr>
      </w:pPr>
      <w:bookmarkStart w:id="51" w:name="_heading=h.ft0a0ibey02p" w:colFirst="0" w:colLast="0"/>
      <w:bookmarkEnd w:id="51"/>
    </w:p>
    <w:p w14:paraId="06E63E99" w14:textId="77777777" w:rsidR="008D7166" w:rsidRDefault="00233308">
      <w:pPr>
        <w:widowControl w:val="0"/>
        <w:spacing w:after="0" w:line="240" w:lineRule="auto"/>
        <w:ind w:left="720"/>
        <w:jc w:val="both"/>
        <w:rPr>
          <w:rFonts w:ascii="Arial" w:eastAsia="Arial" w:hAnsi="Arial" w:cs="Arial"/>
          <w:color w:val="333333"/>
        </w:rPr>
      </w:pPr>
      <w:r>
        <w:rPr>
          <w:rFonts w:ascii="Arial" w:eastAsia="Arial" w:hAnsi="Arial" w:cs="Arial"/>
          <w:b/>
          <w:color w:val="333333"/>
        </w:rPr>
        <w:t xml:space="preserve">Artículo 2°. Inversión de excedentes de liquidez. </w:t>
      </w:r>
      <w:r>
        <w:rPr>
          <w:rFonts w:ascii="Arial" w:eastAsia="Arial" w:hAnsi="Arial" w:cs="Arial"/>
          <w:color w:val="333333"/>
        </w:rPr>
        <w:t>En f</w:t>
      </w:r>
      <w:r>
        <w:rPr>
          <w:rFonts w:ascii="Arial" w:eastAsia="Arial" w:hAnsi="Arial" w:cs="Arial"/>
          <w:color w:val="333333"/>
        </w:rPr>
        <w:t>unción de lo dispuesto por el artículo 17 de la Ley 819 de 2003, las entidades territoriales y las entidades descentralizadas del orden territorial con participación pública superior al cincuenta por ciento (50%), sin perjuicio de las demás inversiones aut</w:t>
      </w:r>
      <w:r>
        <w:rPr>
          <w:rFonts w:ascii="Arial" w:eastAsia="Arial" w:hAnsi="Arial" w:cs="Arial"/>
          <w:color w:val="333333"/>
        </w:rPr>
        <w:t xml:space="preserve">orizadas en la ley, podrán invertir sus excedentes de liquidez en certificados de depósitos a término, depósitos en cuenta corriente, de ahorros o a término en condiciones de mercado en entidades financieras vigiladas por la Superintendencia Financiera de </w:t>
      </w:r>
      <w:r>
        <w:rPr>
          <w:rFonts w:ascii="Arial" w:eastAsia="Arial" w:hAnsi="Arial" w:cs="Arial"/>
          <w:color w:val="333333"/>
        </w:rPr>
        <w:t xml:space="preserve">Colombia. </w:t>
      </w:r>
    </w:p>
    <w:p w14:paraId="49FC2D20" w14:textId="77777777" w:rsidR="008D7166" w:rsidRDefault="008D7166">
      <w:pPr>
        <w:widowControl w:val="0"/>
        <w:spacing w:after="0" w:line="240" w:lineRule="auto"/>
        <w:ind w:left="720"/>
        <w:jc w:val="both"/>
        <w:rPr>
          <w:rFonts w:ascii="Arial" w:eastAsia="Arial" w:hAnsi="Arial" w:cs="Arial"/>
          <w:color w:val="333333"/>
        </w:rPr>
      </w:pPr>
      <w:bookmarkStart w:id="52" w:name="_heading=h.53znnh9j65fk" w:colFirst="0" w:colLast="0"/>
      <w:bookmarkEnd w:id="52"/>
    </w:p>
    <w:p w14:paraId="6A5C11A5" w14:textId="77777777" w:rsidR="008D7166" w:rsidRDefault="00233308">
      <w:pPr>
        <w:widowControl w:val="0"/>
        <w:spacing w:after="0" w:line="240" w:lineRule="auto"/>
        <w:ind w:left="720"/>
        <w:jc w:val="both"/>
        <w:rPr>
          <w:rFonts w:ascii="Arial" w:eastAsia="Arial" w:hAnsi="Arial" w:cs="Arial"/>
          <w:color w:val="333333"/>
        </w:rPr>
      </w:pPr>
      <w:r>
        <w:rPr>
          <w:rFonts w:ascii="Arial" w:eastAsia="Arial" w:hAnsi="Arial" w:cs="Arial"/>
          <w:b/>
          <w:color w:val="333333"/>
        </w:rPr>
        <w:t>Parágrafo 1°.</w:t>
      </w:r>
      <w:r>
        <w:rPr>
          <w:rFonts w:ascii="Arial" w:eastAsia="Arial" w:hAnsi="Arial" w:cs="Arial"/>
          <w:color w:val="333333"/>
        </w:rPr>
        <w:t xml:space="preserve"> Para efectos de las inversiones en entidades financieras de las que trata este artículo, estas entidades deberán cumplir con la siguiente calificación de riesgo, según el plazo de inversión, así: </w:t>
      </w:r>
    </w:p>
    <w:p w14:paraId="691DCBCB" w14:textId="77777777" w:rsidR="008D7166" w:rsidRDefault="008D7166">
      <w:pPr>
        <w:widowControl w:val="0"/>
        <w:spacing w:after="0" w:line="240" w:lineRule="auto"/>
        <w:ind w:left="720"/>
        <w:jc w:val="both"/>
        <w:rPr>
          <w:rFonts w:ascii="Arial" w:eastAsia="Arial" w:hAnsi="Arial" w:cs="Arial"/>
          <w:color w:val="333333"/>
        </w:rPr>
      </w:pPr>
    </w:p>
    <w:p w14:paraId="37201751" w14:textId="77777777" w:rsidR="008D7166" w:rsidRDefault="00233308">
      <w:pPr>
        <w:widowControl w:val="0"/>
        <w:spacing w:after="0" w:line="240" w:lineRule="auto"/>
        <w:ind w:left="720"/>
        <w:jc w:val="both"/>
        <w:rPr>
          <w:rFonts w:ascii="Arial" w:eastAsia="Arial" w:hAnsi="Arial" w:cs="Arial"/>
          <w:color w:val="333333"/>
        </w:rPr>
      </w:pPr>
      <w:r>
        <w:rPr>
          <w:rFonts w:ascii="Arial" w:eastAsia="Arial" w:hAnsi="Arial" w:cs="Arial"/>
          <w:color w:val="333333"/>
        </w:rPr>
        <w:t>1. Para inversiones con plazo ig</w:t>
      </w:r>
      <w:r>
        <w:rPr>
          <w:rFonts w:ascii="Arial" w:eastAsia="Arial" w:hAnsi="Arial" w:cs="Arial"/>
          <w:color w:val="333333"/>
        </w:rPr>
        <w:t xml:space="preserve">ual o inferior a un (1) año, la entidad financiera deberá contar con una calificación vigente correspondiente a la máxima categoría para el corto plazo, de acuerdo con las escalas usadas por las sociedades calificadoras que la otorgan y contar como mínimo </w:t>
      </w:r>
      <w:r>
        <w:rPr>
          <w:rFonts w:ascii="Arial" w:eastAsia="Arial" w:hAnsi="Arial" w:cs="Arial"/>
          <w:color w:val="333333"/>
        </w:rPr>
        <w:t xml:space="preserve">con la segunda mejor calificación vigente para el largo plazo utilizada por las respectivas sociedades; </w:t>
      </w:r>
    </w:p>
    <w:p w14:paraId="652B5FD5" w14:textId="77777777" w:rsidR="008D7166" w:rsidRDefault="00233308">
      <w:pPr>
        <w:widowControl w:val="0"/>
        <w:spacing w:after="0" w:line="240" w:lineRule="auto"/>
        <w:ind w:left="720"/>
        <w:jc w:val="both"/>
        <w:rPr>
          <w:rFonts w:ascii="Arial" w:eastAsia="Arial" w:hAnsi="Arial" w:cs="Arial"/>
          <w:color w:val="333333"/>
        </w:rPr>
      </w:pPr>
      <w:r>
        <w:rPr>
          <w:rFonts w:ascii="Arial" w:eastAsia="Arial" w:hAnsi="Arial" w:cs="Arial"/>
          <w:color w:val="333333"/>
        </w:rPr>
        <w:t xml:space="preserve">2. Para inversiones con plazo superior a un (1) año, la entidad financiera deberá contar como mínimo con la segunda mejor calificación vigente para el </w:t>
      </w:r>
      <w:r>
        <w:rPr>
          <w:rFonts w:ascii="Arial" w:eastAsia="Arial" w:hAnsi="Arial" w:cs="Arial"/>
          <w:color w:val="333333"/>
        </w:rPr>
        <w:t xml:space="preserve">largo plazo, según la escala utilizada por las sociedades calificadoras y la máxima calificación para el corto plazo de acuerdo con la escala utilizada para este plazo; </w:t>
      </w:r>
    </w:p>
    <w:p w14:paraId="4C084D50" w14:textId="77777777" w:rsidR="008D7166" w:rsidRDefault="00233308">
      <w:pPr>
        <w:widowControl w:val="0"/>
        <w:spacing w:after="0" w:line="240" w:lineRule="auto"/>
        <w:ind w:left="720"/>
        <w:jc w:val="both"/>
        <w:rPr>
          <w:rFonts w:ascii="Arial" w:eastAsia="Arial" w:hAnsi="Arial" w:cs="Arial"/>
          <w:color w:val="333333"/>
        </w:rPr>
      </w:pPr>
      <w:r>
        <w:rPr>
          <w:rFonts w:ascii="Arial" w:eastAsia="Arial" w:hAnsi="Arial" w:cs="Arial"/>
          <w:color w:val="333333"/>
        </w:rPr>
        <w:t>3. Las entidades territoriales podrán seguir colocando sus excedentes de liquidez en I</w:t>
      </w:r>
      <w:r>
        <w:rPr>
          <w:rFonts w:ascii="Arial" w:eastAsia="Arial" w:hAnsi="Arial" w:cs="Arial"/>
          <w:color w:val="333333"/>
        </w:rPr>
        <w:t xml:space="preserve">nstitutos de Fomento y Desarrollo calificados como de bajo riesgo crediticio. </w:t>
      </w:r>
    </w:p>
    <w:p w14:paraId="758AD538" w14:textId="77777777" w:rsidR="008D7166" w:rsidRDefault="008D7166">
      <w:pPr>
        <w:widowControl w:val="0"/>
        <w:spacing w:after="0" w:line="240" w:lineRule="auto"/>
        <w:ind w:left="720"/>
        <w:jc w:val="both"/>
        <w:rPr>
          <w:rFonts w:ascii="Arial" w:eastAsia="Arial" w:hAnsi="Arial" w:cs="Arial"/>
          <w:color w:val="333333"/>
        </w:rPr>
      </w:pPr>
    </w:p>
    <w:p w14:paraId="6A22B968" w14:textId="77777777" w:rsidR="008D7166" w:rsidRDefault="00233308">
      <w:pPr>
        <w:widowControl w:val="0"/>
        <w:spacing w:after="0" w:line="240" w:lineRule="auto"/>
        <w:ind w:left="720"/>
        <w:jc w:val="both"/>
        <w:rPr>
          <w:rFonts w:ascii="Arial" w:eastAsia="Arial" w:hAnsi="Arial" w:cs="Arial"/>
          <w:color w:val="333333"/>
        </w:rPr>
      </w:pPr>
      <w:r>
        <w:rPr>
          <w:rFonts w:ascii="Arial" w:eastAsia="Arial" w:hAnsi="Arial" w:cs="Arial"/>
          <w:b/>
          <w:color w:val="333333"/>
        </w:rPr>
        <w:t>Parágrafo 2°.</w:t>
      </w:r>
      <w:r>
        <w:rPr>
          <w:rFonts w:ascii="Arial" w:eastAsia="Arial" w:hAnsi="Arial" w:cs="Arial"/>
          <w:color w:val="333333"/>
        </w:rPr>
        <w:t xml:space="preserve"> Tratándose de excedentes de liquidez de recursos de regalías y compensaciones deberá reportarse su inversión, trimestralmente, a la Dirección de Regalías del Depa</w:t>
      </w:r>
      <w:r>
        <w:rPr>
          <w:rFonts w:ascii="Arial" w:eastAsia="Arial" w:hAnsi="Arial" w:cs="Arial"/>
          <w:color w:val="333333"/>
        </w:rPr>
        <w:t xml:space="preserve">rtamento Nacional de Planeación, por medio físico y magnético, dentro del mes siguiente a la fecha de corte de cada trimestre y a través de los formatos que para tal efecto sean diseñados por la entidad. </w:t>
      </w:r>
    </w:p>
    <w:p w14:paraId="512FB28E" w14:textId="77777777" w:rsidR="008D7166" w:rsidRDefault="008D7166">
      <w:pPr>
        <w:widowControl w:val="0"/>
        <w:spacing w:after="0" w:line="240" w:lineRule="auto"/>
        <w:ind w:left="720"/>
        <w:jc w:val="both"/>
        <w:rPr>
          <w:rFonts w:ascii="Arial" w:eastAsia="Arial" w:hAnsi="Arial" w:cs="Arial"/>
          <w:color w:val="333333"/>
        </w:rPr>
      </w:pPr>
      <w:bookmarkStart w:id="53" w:name="_heading=h.l2l98j21rvl0" w:colFirst="0" w:colLast="0"/>
      <w:bookmarkEnd w:id="53"/>
    </w:p>
    <w:p w14:paraId="2DE1E161" w14:textId="77777777" w:rsidR="008D7166" w:rsidRDefault="00233308">
      <w:pPr>
        <w:widowControl w:val="0"/>
        <w:spacing w:after="0" w:line="240" w:lineRule="auto"/>
        <w:ind w:left="720"/>
        <w:jc w:val="both"/>
        <w:rPr>
          <w:rFonts w:ascii="Arial" w:eastAsia="Arial" w:hAnsi="Arial" w:cs="Arial"/>
          <w:color w:val="333333"/>
        </w:rPr>
      </w:pPr>
      <w:r>
        <w:rPr>
          <w:rFonts w:ascii="Arial" w:eastAsia="Arial" w:hAnsi="Arial" w:cs="Arial"/>
          <w:b/>
          <w:color w:val="333333"/>
        </w:rPr>
        <w:t>Parágrafo 3°.</w:t>
      </w:r>
      <w:r>
        <w:rPr>
          <w:rFonts w:ascii="Arial" w:eastAsia="Arial" w:hAnsi="Arial" w:cs="Arial"/>
          <w:color w:val="333333"/>
        </w:rPr>
        <w:t xml:space="preserve"> El Gobierno nacional, a través del M</w:t>
      </w:r>
      <w:r>
        <w:rPr>
          <w:rFonts w:ascii="Arial" w:eastAsia="Arial" w:hAnsi="Arial" w:cs="Arial"/>
          <w:color w:val="333333"/>
        </w:rPr>
        <w:t xml:space="preserve">inisterio de Hacienda y Crédito Público, reglamentará lo dispuesto en el presente artículo. </w:t>
      </w:r>
    </w:p>
    <w:p w14:paraId="4D902060" w14:textId="77777777" w:rsidR="008D7166" w:rsidRDefault="008D7166">
      <w:pPr>
        <w:widowControl w:val="0"/>
        <w:spacing w:after="0" w:line="240" w:lineRule="auto"/>
        <w:ind w:left="720"/>
        <w:jc w:val="both"/>
        <w:rPr>
          <w:rFonts w:ascii="Arial" w:eastAsia="Arial" w:hAnsi="Arial" w:cs="Arial"/>
          <w:color w:val="333333"/>
        </w:rPr>
      </w:pPr>
    </w:p>
    <w:p w14:paraId="2D36F06C" w14:textId="77777777" w:rsidR="008D7166" w:rsidRDefault="00233308">
      <w:pPr>
        <w:widowControl w:val="0"/>
        <w:spacing w:after="0" w:line="240" w:lineRule="auto"/>
        <w:ind w:left="720"/>
        <w:jc w:val="both"/>
        <w:rPr>
          <w:rFonts w:ascii="Arial" w:eastAsia="Arial" w:hAnsi="Arial" w:cs="Arial"/>
          <w:color w:val="333333"/>
        </w:rPr>
      </w:pPr>
      <w:r>
        <w:rPr>
          <w:rFonts w:ascii="Arial" w:eastAsia="Arial" w:hAnsi="Arial" w:cs="Arial"/>
          <w:b/>
          <w:color w:val="333333"/>
        </w:rPr>
        <w:t>Artículo 3°. Control y Vigilancia.</w:t>
      </w:r>
      <w:r>
        <w:rPr>
          <w:rFonts w:ascii="Arial" w:eastAsia="Arial" w:hAnsi="Arial" w:cs="Arial"/>
          <w:color w:val="333333"/>
        </w:rPr>
        <w:t xml:space="preserve"> En los casos en que las entidades territoriales y las entidades descentralizadas del orden territorial con participación pública superior al cincuenta por ciento (50%) inviertan sus excedentes de liquidez en entidades financieras diferentes a establecimie</w:t>
      </w:r>
      <w:r>
        <w:rPr>
          <w:rFonts w:ascii="Arial" w:eastAsia="Arial" w:hAnsi="Arial" w:cs="Arial"/>
          <w:color w:val="333333"/>
        </w:rPr>
        <w:t>ntos de crédito, la Superintendencia Financiera ejercerá el control y vigilancia a dichas entidades financieras a través de los mecanismos con los que ya cuenta la entidad.</w:t>
      </w:r>
    </w:p>
    <w:p w14:paraId="2FB22824" w14:textId="77777777" w:rsidR="008D7166" w:rsidRDefault="008D7166">
      <w:pPr>
        <w:widowControl w:val="0"/>
        <w:spacing w:after="0" w:line="240" w:lineRule="auto"/>
        <w:ind w:left="720"/>
        <w:jc w:val="both"/>
        <w:rPr>
          <w:rFonts w:ascii="Arial" w:eastAsia="Arial" w:hAnsi="Arial" w:cs="Arial"/>
          <w:color w:val="333333"/>
        </w:rPr>
      </w:pPr>
      <w:bookmarkStart w:id="54" w:name="_heading=h.jrcotvetjt0b" w:colFirst="0" w:colLast="0"/>
      <w:bookmarkEnd w:id="54"/>
    </w:p>
    <w:p w14:paraId="60BABCCD" w14:textId="36D6CFA0" w:rsidR="008D7166" w:rsidRDefault="00233308">
      <w:pPr>
        <w:widowControl w:val="0"/>
        <w:spacing w:after="0" w:line="240" w:lineRule="auto"/>
        <w:ind w:left="720"/>
        <w:jc w:val="both"/>
        <w:rPr>
          <w:rFonts w:ascii="Arial" w:eastAsia="Arial" w:hAnsi="Arial" w:cs="Arial"/>
          <w:color w:val="333333"/>
        </w:rPr>
      </w:pPr>
      <w:r>
        <w:rPr>
          <w:rFonts w:ascii="Arial" w:eastAsia="Arial" w:hAnsi="Arial" w:cs="Arial"/>
          <w:b/>
          <w:color w:val="333333"/>
        </w:rPr>
        <w:t>Artículo Nuevo.</w:t>
      </w:r>
      <w:r>
        <w:rPr>
          <w:rFonts w:ascii="Arial" w:eastAsia="Arial" w:hAnsi="Arial" w:cs="Arial"/>
          <w:color w:val="333333"/>
        </w:rPr>
        <w:t xml:space="preserve"> Publicidad y transparencia. Las operaciones de las que trata la pr</w:t>
      </w:r>
      <w:r>
        <w:rPr>
          <w:rFonts w:ascii="Arial" w:eastAsia="Arial" w:hAnsi="Arial" w:cs="Arial"/>
          <w:color w:val="333333"/>
        </w:rPr>
        <w:t>esente Ley estarán sujetas a los principios de publicidad y transparencia. En mérito de lo anterior, las entidades territoriales y las entidades descentralizadas del orden territorial con participación pública superior al cincuenta por ciento (50%) deberán</w:t>
      </w:r>
      <w:r>
        <w:rPr>
          <w:rFonts w:ascii="Arial" w:eastAsia="Arial" w:hAnsi="Arial" w:cs="Arial"/>
          <w:color w:val="333333"/>
        </w:rPr>
        <w:t xml:space="preserve"> publicar y socializar anualmente a la ciudadanía un informe que dé cuenta de sus inversiones de excedente de liquidez en entidades financieras y del estado de las mismas, sin perjuicio de los demás mecanismos de rendición de cuentas con los que ya cuentan</w:t>
      </w:r>
      <w:r>
        <w:rPr>
          <w:rFonts w:ascii="Arial" w:eastAsia="Arial" w:hAnsi="Arial" w:cs="Arial"/>
          <w:color w:val="333333"/>
        </w:rPr>
        <w:t xml:space="preserve"> las entidades. </w:t>
      </w:r>
    </w:p>
    <w:p w14:paraId="76E9E880" w14:textId="77777777" w:rsidR="008D7166" w:rsidRDefault="008D7166">
      <w:pPr>
        <w:widowControl w:val="0"/>
        <w:spacing w:after="0" w:line="240" w:lineRule="auto"/>
        <w:ind w:left="720"/>
        <w:jc w:val="both"/>
        <w:rPr>
          <w:rFonts w:ascii="Arial" w:eastAsia="Arial" w:hAnsi="Arial" w:cs="Arial"/>
          <w:color w:val="333333"/>
        </w:rPr>
      </w:pPr>
      <w:bookmarkStart w:id="55" w:name="_heading=h.i46vuaygn9bg" w:colFirst="0" w:colLast="0"/>
      <w:bookmarkEnd w:id="55"/>
    </w:p>
    <w:p w14:paraId="0E822D87" w14:textId="77777777" w:rsidR="00B00C6C" w:rsidRDefault="00B00C6C">
      <w:pPr>
        <w:widowControl w:val="0"/>
        <w:spacing w:after="0" w:line="240" w:lineRule="auto"/>
        <w:ind w:left="720"/>
        <w:jc w:val="both"/>
        <w:rPr>
          <w:rFonts w:ascii="Arial" w:eastAsia="Arial" w:hAnsi="Arial" w:cs="Arial"/>
          <w:b/>
          <w:color w:val="333333"/>
        </w:rPr>
      </w:pPr>
    </w:p>
    <w:p w14:paraId="06896326" w14:textId="013FFAB9" w:rsidR="008D7166" w:rsidRDefault="00233308">
      <w:pPr>
        <w:widowControl w:val="0"/>
        <w:spacing w:after="0" w:line="240" w:lineRule="auto"/>
        <w:ind w:left="720"/>
        <w:jc w:val="both"/>
        <w:rPr>
          <w:rFonts w:ascii="Arial" w:eastAsia="Arial" w:hAnsi="Arial" w:cs="Arial"/>
          <w:color w:val="333333"/>
        </w:rPr>
      </w:pPr>
      <w:r>
        <w:rPr>
          <w:rFonts w:ascii="Arial" w:eastAsia="Arial" w:hAnsi="Arial" w:cs="Arial"/>
          <w:b/>
          <w:color w:val="333333"/>
        </w:rPr>
        <w:t>Artículo 4°. Vigencia.</w:t>
      </w:r>
      <w:r>
        <w:rPr>
          <w:rFonts w:ascii="Arial" w:eastAsia="Arial" w:hAnsi="Arial" w:cs="Arial"/>
          <w:color w:val="333333"/>
        </w:rPr>
        <w:t xml:space="preserve"> La presente ley rige a partir de su promulgación y las demás disposiciones que le sean contrarias.</w:t>
      </w:r>
    </w:p>
    <w:p w14:paraId="5FAD6AD1" w14:textId="77777777" w:rsidR="008D7166" w:rsidRDefault="008D7166">
      <w:pPr>
        <w:widowControl w:val="0"/>
        <w:spacing w:after="0" w:line="240" w:lineRule="auto"/>
        <w:jc w:val="both"/>
        <w:rPr>
          <w:rFonts w:ascii="Arial" w:eastAsia="Arial" w:hAnsi="Arial" w:cs="Arial"/>
          <w:color w:val="333333"/>
        </w:rPr>
      </w:pPr>
      <w:bookmarkStart w:id="56" w:name="_heading=h.gmimrebu965a" w:colFirst="0" w:colLast="0"/>
      <w:bookmarkEnd w:id="56"/>
    </w:p>
    <w:p w14:paraId="1AE7AEBE" w14:textId="77777777" w:rsidR="008D7166" w:rsidRDefault="00233308">
      <w:pPr>
        <w:widowControl w:val="0"/>
        <w:spacing w:after="0" w:line="240" w:lineRule="auto"/>
        <w:jc w:val="both"/>
        <w:rPr>
          <w:rFonts w:ascii="Arial" w:eastAsia="Arial" w:hAnsi="Arial" w:cs="Arial"/>
          <w:color w:val="333333"/>
        </w:rPr>
      </w:pPr>
      <w:bookmarkStart w:id="57" w:name="_heading=h.sz7yhiie4wrb" w:colFirst="0" w:colLast="0"/>
      <w:bookmarkEnd w:id="57"/>
      <w:r>
        <w:rPr>
          <w:rFonts w:ascii="Arial" w:eastAsia="Arial" w:hAnsi="Arial" w:cs="Arial"/>
          <w:color w:val="333333"/>
        </w:rPr>
        <w:t>Surtido el trámite en la Cámara de Representantes, el proyecto de ley fue remitido al Senado de la República, dond</w:t>
      </w:r>
      <w:r>
        <w:rPr>
          <w:rFonts w:ascii="Arial" w:eastAsia="Arial" w:hAnsi="Arial" w:cs="Arial"/>
          <w:color w:val="333333"/>
        </w:rPr>
        <w:t>e se le asignó el número 174 de 2023 Senado y se envió a la Comisión Tercera del Senado de la República para su respectivo trámite.</w:t>
      </w:r>
    </w:p>
    <w:p w14:paraId="45276832" w14:textId="77777777" w:rsidR="008D7166" w:rsidRDefault="008D7166">
      <w:pPr>
        <w:widowControl w:val="0"/>
        <w:spacing w:after="0" w:line="240" w:lineRule="auto"/>
        <w:jc w:val="both"/>
        <w:rPr>
          <w:rFonts w:ascii="Arial" w:eastAsia="Arial" w:hAnsi="Arial" w:cs="Arial"/>
          <w:color w:val="333333"/>
        </w:rPr>
      </w:pPr>
      <w:bookmarkStart w:id="58" w:name="_heading=h.i1qrnuytfcl3" w:colFirst="0" w:colLast="0"/>
      <w:bookmarkEnd w:id="58"/>
    </w:p>
    <w:p w14:paraId="13D51059" w14:textId="77777777" w:rsidR="008D7166" w:rsidRDefault="00233308">
      <w:pPr>
        <w:widowControl w:val="0"/>
        <w:spacing w:after="0" w:line="240" w:lineRule="auto"/>
        <w:jc w:val="both"/>
        <w:rPr>
          <w:rFonts w:ascii="Arial" w:eastAsia="Arial" w:hAnsi="Arial" w:cs="Arial"/>
          <w:color w:val="333333"/>
        </w:rPr>
      </w:pPr>
      <w:bookmarkStart w:id="59" w:name="_heading=h.eu9035f7rv9o" w:colFirst="0" w:colLast="0"/>
      <w:bookmarkEnd w:id="59"/>
      <w:r>
        <w:rPr>
          <w:rFonts w:ascii="Arial" w:eastAsia="Arial" w:hAnsi="Arial" w:cs="Arial"/>
          <w:color w:val="333333"/>
        </w:rPr>
        <w:t>La Comisión Tercera del Senado de la República designó el día 08 de noviembre al H.S Carlos Alberto Benavides Mora como pon</w:t>
      </w:r>
      <w:r>
        <w:rPr>
          <w:rFonts w:ascii="Arial" w:eastAsia="Arial" w:hAnsi="Arial" w:cs="Arial"/>
          <w:color w:val="333333"/>
        </w:rPr>
        <w:t xml:space="preserve">ente para primer debate en el Senado del Proyecto de Ley. </w:t>
      </w:r>
    </w:p>
    <w:p w14:paraId="6FE0D310" w14:textId="77777777" w:rsidR="008D7166" w:rsidRDefault="008D7166">
      <w:pPr>
        <w:widowControl w:val="0"/>
        <w:spacing w:after="0" w:line="240" w:lineRule="auto"/>
        <w:jc w:val="both"/>
        <w:rPr>
          <w:rFonts w:ascii="Arial" w:eastAsia="Arial" w:hAnsi="Arial" w:cs="Arial"/>
          <w:color w:val="333333"/>
        </w:rPr>
      </w:pPr>
      <w:bookmarkStart w:id="60" w:name="_heading=h.mwxwdu2qjdik" w:colFirst="0" w:colLast="0"/>
      <w:bookmarkEnd w:id="60"/>
    </w:p>
    <w:p w14:paraId="1F0DF783" w14:textId="77777777" w:rsidR="008D7166" w:rsidRDefault="00233308">
      <w:pPr>
        <w:widowControl w:val="0"/>
        <w:spacing w:after="0" w:line="240" w:lineRule="auto"/>
        <w:jc w:val="both"/>
        <w:rPr>
          <w:rFonts w:ascii="Arial" w:eastAsia="Arial" w:hAnsi="Arial" w:cs="Arial"/>
          <w:color w:val="333333"/>
        </w:rPr>
      </w:pPr>
      <w:bookmarkStart w:id="61" w:name="_heading=h.wcec72fqru95" w:colFirst="0" w:colLast="0"/>
      <w:bookmarkEnd w:id="61"/>
      <w:r>
        <w:rPr>
          <w:rFonts w:ascii="Arial" w:eastAsia="Arial" w:hAnsi="Arial" w:cs="Arial"/>
          <w:color w:val="333333"/>
        </w:rPr>
        <w:t>La ponencia para primer debate en el Senado de la República presentada por el H.S Carlos Alberto Benavides Mora fue publicada en la Gaceta del Congreso No. 1157 de 2023, siendo debatido y aprobado</w:t>
      </w:r>
      <w:r>
        <w:rPr>
          <w:rFonts w:ascii="Arial" w:eastAsia="Arial" w:hAnsi="Arial" w:cs="Arial"/>
          <w:color w:val="333333"/>
        </w:rPr>
        <w:t xml:space="preserve"> el proyecto por la Comisión Tercera del Senado de la República el día 5 de marzo de 2024.</w:t>
      </w:r>
    </w:p>
    <w:p w14:paraId="75DD293D" w14:textId="77777777" w:rsidR="008D7166" w:rsidRDefault="008D7166">
      <w:pPr>
        <w:widowControl w:val="0"/>
        <w:spacing w:after="0" w:line="240" w:lineRule="auto"/>
        <w:jc w:val="both"/>
        <w:rPr>
          <w:rFonts w:ascii="Arial" w:eastAsia="Arial" w:hAnsi="Arial" w:cs="Arial"/>
          <w:color w:val="333333"/>
        </w:rPr>
      </w:pPr>
      <w:bookmarkStart w:id="62" w:name="_heading=h.m6yiw4tm58qa" w:colFirst="0" w:colLast="0"/>
      <w:bookmarkEnd w:id="62"/>
    </w:p>
    <w:p w14:paraId="40840265" w14:textId="77777777" w:rsidR="008D7166" w:rsidRDefault="00233308">
      <w:pPr>
        <w:widowControl w:val="0"/>
        <w:spacing w:after="0" w:line="240" w:lineRule="auto"/>
        <w:jc w:val="both"/>
        <w:rPr>
          <w:rFonts w:ascii="Arial" w:eastAsia="Arial" w:hAnsi="Arial" w:cs="Arial"/>
          <w:color w:val="333333"/>
        </w:rPr>
      </w:pPr>
      <w:bookmarkStart w:id="63" w:name="_heading=h.sphoz0gxjnug" w:colFirst="0" w:colLast="0"/>
      <w:bookmarkEnd w:id="63"/>
      <w:r>
        <w:rPr>
          <w:rFonts w:ascii="Arial" w:eastAsia="Arial" w:hAnsi="Arial" w:cs="Arial"/>
          <w:color w:val="333333"/>
        </w:rPr>
        <w:t>El 23 de abril de 2024 la Secretaría de la Comisión Tercera Constitucional Permanente del Senado de la República designó como ponente del Proyecto de Ley para segun</w:t>
      </w:r>
      <w:r>
        <w:rPr>
          <w:rFonts w:ascii="Arial" w:eastAsia="Arial" w:hAnsi="Arial" w:cs="Arial"/>
          <w:color w:val="333333"/>
        </w:rPr>
        <w:t xml:space="preserve">do debate a la H.S Sonia Shirley Bernal Sánchez. </w:t>
      </w:r>
    </w:p>
    <w:p w14:paraId="235CB27D" w14:textId="77777777" w:rsidR="008D7166" w:rsidRDefault="008D7166">
      <w:pPr>
        <w:widowControl w:val="0"/>
        <w:spacing w:after="0" w:line="240" w:lineRule="auto"/>
        <w:jc w:val="both"/>
        <w:rPr>
          <w:rFonts w:ascii="Arial" w:eastAsia="Arial" w:hAnsi="Arial" w:cs="Arial"/>
          <w:color w:val="333333"/>
        </w:rPr>
      </w:pPr>
      <w:bookmarkStart w:id="64" w:name="_heading=h.gfq83mrnbeyx" w:colFirst="0" w:colLast="0"/>
      <w:bookmarkEnd w:id="64"/>
    </w:p>
    <w:p w14:paraId="36381810" w14:textId="77777777" w:rsidR="008D7166" w:rsidRDefault="00233308">
      <w:pPr>
        <w:widowControl w:val="0"/>
        <w:spacing w:after="0" w:line="240" w:lineRule="auto"/>
        <w:jc w:val="both"/>
        <w:rPr>
          <w:rFonts w:ascii="Arial" w:eastAsia="Arial" w:hAnsi="Arial" w:cs="Arial"/>
          <w:color w:val="333333"/>
        </w:rPr>
      </w:pPr>
      <w:bookmarkStart w:id="65" w:name="_heading=h.kcximheocc80" w:colFirst="0" w:colLast="0"/>
      <w:bookmarkEnd w:id="65"/>
      <w:r>
        <w:rPr>
          <w:rFonts w:ascii="Arial" w:eastAsia="Arial" w:hAnsi="Arial" w:cs="Arial"/>
          <w:color w:val="333333"/>
        </w:rPr>
        <w:t>La ponencia para segundo debate en el Senado de la República presentada por la H.S Sonia Shirley Bernal Sánchez fue publicada en la Gaceta del Congreso No. 573 de 2024, siendo debatido y aprobado por la Pl</w:t>
      </w:r>
      <w:r>
        <w:rPr>
          <w:rFonts w:ascii="Arial" w:eastAsia="Arial" w:hAnsi="Arial" w:cs="Arial"/>
          <w:color w:val="333333"/>
        </w:rPr>
        <w:t>enaria del Senado de la República el día 29 de mayo de 2024.</w:t>
      </w:r>
    </w:p>
    <w:p w14:paraId="20FFEF90" w14:textId="77777777" w:rsidR="008D7166" w:rsidRDefault="008D7166">
      <w:pPr>
        <w:widowControl w:val="0"/>
        <w:spacing w:after="0" w:line="240" w:lineRule="auto"/>
        <w:jc w:val="both"/>
        <w:rPr>
          <w:rFonts w:ascii="Arial" w:eastAsia="Arial" w:hAnsi="Arial" w:cs="Arial"/>
          <w:color w:val="333333"/>
        </w:rPr>
      </w:pPr>
      <w:bookmarkStart w:id="66" w:name="_heading=h.b2gobn6xbf3r" w:colFirst="0" w:colLast="0"/>
      <w:bookmarkEnd w:id="66"/>
    </w:p>
    <w:p w14:paraId="3B889DCE" w14:textId="166B964A" w:rsidR="008D7166" w:rsidRDefault="00233308">
      <w:pPr>
        <w:widowControl w:val="0"/>
        <w:spacing w:after="0" w:line="240" w:lineRule="auto"/>
        <w:jc w:val="both"/>
        <w:rPr>
          <w:rFonts w:ascii="Arial" w:eastAsia="Arial" w:hAnsi="Arial" w:cs="Arial"/>
          <w:color w:val="333333"/>
        </w:rPr>
      </w:pPr>
      <w:bookmarkStart w:id="67" w:name="_heading=h.hwjhfh14pg0b" w:colFirst="0" w:colLast="0"/>
      <w:bookmarkEnd w:id="67"/>
      <w:r>
        <w:rPr>
          <w:rFonts w:ascii="Arial" w:eastAsia="Arial" w:hAnsi="Arial" w:cs="Arial"/>
          <w:color w:val="333333"/>
        </w:rPr>
        <w:t>El texto definitivo aprobado por el Senado de la República, publicado en la Gaceta 765 de 2024, es el siguiente:</w:t>
      </w:r>
      <w:r>
        <w:rPr>
          <w:rFonts w:ascii="Arial" w:eastAsia="Arial" w:hAnsi="Arial" w:cs="Arial"/>
          <w:color w:val="333333"/>
        </w:rPr>
        <w:br/>
      </w:r>
      <w:bookmarkStart w:id="68" w:name="_heading=h.7i1ftg60nnlr" w:colFirst="0" w:colLast="0"/>
      <w:bookmarkEnd w:id="68"/>
    </w:p>
    <w:p w14:paraId="031AB3F8" w14:textId="77777777" w:rsidR="008D7166" w:rsidRDefault="00233308">
      <w:pPr>
        <w:widowControl w:val="0"/>
        <w:spacing w:after="0" w:line="240" w:lineRule="auto"/>
        <w:ind w:left="1440"/>
        <w:jc w:val="center"/>
        <w:rPr>
          <w:rFonts w:ascii="Arial" w:eastAsia="Arial" w:hAnsi="Arial" w:cs="Arial"/>
          <w:b/>
          <w:color w:val="333333"/>
        </w:rPr>
      </w:pPr>
      <w:r>
        <w:rPr>
          <w:rFonts w:ascii="Arial" w:eastAsia="Arial" w:hAnsi="Arial" w:cs="Arial"/>
          <w:b/>
          <w:color w:val="333333"/>
        </w:rPr>
        <w:t>Por medio del cual se promueve la competencia justa en el sector financiero y se</w:t>
      </w:r>
      <w:r>
        <w:rPr>
          <w:rFonts w:ascii="Arial" w:eastAsia="Arial" w:hAnsi="Arial" w:cs="Arial"/>
          <w:b/>
          <w:color w:val="333333"/>
        </w:rPr>
        <w:t xml:space="preserve"> dictan otras disposiciones. </w:t>
      </w:r>
    </w:p>
    <w:p w14:paraId="3276D330" w14:textId="77777777" w:rsidR="008D7166" w:rsidRDefault="008D7166">
      <w:pPr>
        <w:widowControl w:val="0"/>
        <w:spacing w:after="0" w:line="240" w:lineRule="auto"/>
        <w:ind w:left="1440"/>
        <w:jc w:val="center"/>
        <w:rPr>
          <w:rFonts w:ascii="Arial" w:eastAsia="Arial" w:hAnsi="Arial" w:cs="Arial"/>
          <w:b/>
          <w:color w:val="333333"/>
        </w:rPr>
      </w:pPr>
    </w:p>
    <w:p w14:paraId="1390A4B8" w14:textId="77777777" w:rsidR="008D7166" w:rsidRDefault="00233308">
      <w:pPr>
        <w:widowControl w:val="0"/>
        <w:spacing w:after="0" w:line="240" w:lineRule="auto"/>
        <w:ind w:left="1440"/>
        <w:jc w:val="center"/>
        <w:rPr>
          <w:rFonts w:ascii="Arial" w:eastAsia="Arial" w:hAnsi="Arial" w:cs="Arial"/>
          <w:b/>
          <w:color w:val="333333"/>
        </w:rPr>
      </w:pPr>
      <w:r>
        <w:rPr>
          <w:rFonts w:ascii="Arial" w:eastAsia="Arial" w:hAnsi="Arial" w:cs="Arial"/>
          <w:b/>
          <w:color w:val="333333"/>
        </w:rPr>
        <w:t xml:space="preserve">El Congreso de Colombia </w:t>
      </w:r>
    </w:p>
    <w:p w14:paraId="2F0BEDE1" w14:textId="77777777" w:rsidR="008D7166" w:rsidRDefault="008D7166">
      <w:pPr>
        <w:widowControl w:val="0"/>
        <w:spacing w:after="0" w:line="240" w:lineRule="auto"/>
        <w:ind w:left="1440"/>
        <w:jc w:val="center"/>
        <w:rPr>
          <w:rFonts w:ascii="Arial" w:eastAsia="Arial" w:hAnsi="Arial" w:cs="Arial"/>
          <w:b/>
          <w:color w:val="333333"/>
        </w:rPr>
      </w:pPr>
    </w:p>
    <w:p w14:paraId="77B18BB4" w14:textId="77777777" w:rsidR="008D7166" w:rsidRDefault="00233308">
      <w:pPr>
        <w:widowControl w:val="0"/>
        <w:spacing w:after="0" w:line="240" w:lineRule="auto"/>
        <w:ind w:left="1440"/>
        <w:jc w:val="center"/>
        <w:rPr>
          <w:rFonts w:ascii="Arial" w:eastAsia="Arial" w:hAnsi="Arial" w:cs="Arial"/>
          <w:b/>
          <w:color w:val="333333"/>
        </w:rPr>
      </w:pPr>
      <w:r>
        <w:rPr>
          <w:rFonts w:ascii="Arial" w:eastAsia="Arial" w:hAnsi="Arial" w:cs="Arial"/>
          <w:b/>
          <w:color w:val="333333"/>
        </w:rPr>
        <w:t>DECRETA:</w:t>
      </w:r>
    </w:p>
    <w:p w14:paraId="714976B8" w14:textId="77777777" w:rsidR="008D7166" w:rsidRDefault="008D7166">
      <w:pPr>
        <w:widowControl w:val="0"/>
        <w:spacing w:after="0" w:line="240" w:lineRule="auto"/>
        <w:ind w:left="1440"/>
        <w:jc w:val="center"/>
        <w:rPr>
          <w:rFonts w:ascii="Arial" w:eastAsia="Arial" w:hAnsi="Arial" w:cs="Arial"/>
          <w:color w:val="333333"/>
        </w:rPr>
      </w:pPr>
      <w:bookmarkStart w:id="69" w:name="_heading=h.pfddwjhpqh2e" w:colFirst="0" w:colLast="0"/>
      <w:bookmarkEnd w:id="69"/>
    </w:p>
    <w:p w14:paraId="2A5C5420" w14:textId="77777777" w:rsidR="008D7166" w:rsidRDefault="00233308">
      <w:pPr>
        <w:widowControl w:val="0"/>
        <w:spacing w:after="0" w:line="240" w:lineRule="auto"/>
        <w:ind w:left="720"/>
        <w:jc w:val="both"/>
        <w:rPr>
          <w:rFonts w:ascii="Arial" w:eastAsia="Arial" w:hAnsi="Arial" w:cs="Arial"/>
          <w:color w:val="333333"/>
        </w:rPr>
      </w:pPr>
      <w:r>
        <w:rPr>
          <w:rFonts w:ascii="Arial" w:eastAsia="Arial" w:hAnsi="Arial" w:cs="Arial"/>
          <w:b/>
          <w:color w:val="333333"/>
        </w:rPr>
        <w:t>Artículo 1. Objeto.</w:t>
      </w:r>
      <w:r>
        <w:rPr>
          <w:rFonts w:ascii="Arial" w:eastAsia="Arial" w:hAnsi="Arial" w:cs="Arial"/>
          <w:color w:val="333333"/>
        </w:rPr>
        <w:t xml:space="preserve"> La presente ley promueve condiciones de libertad y competencia justa para los establecimientos de crédito, permitiendo que todas las instituciones financieras que los comprenden puedan ofrecer sus servicios a las entidades territoriales y a las entidades </w:t>
      </w:r>
      <w:r>
        <w:rPr>
          <w:rFonts w:ascii="Arial" w:eastAsia="Arial" w:hAnsi="Arial" w:cs="Arial"/>
          <w:color w:val="333333"/>
        </w:rPr>
        <w:t xml:space="preserve">descentralizadas del orden territorial para invertir sus recursos de excedentes de liquidez. </w:t>
      </w:r>
    </w:p>
    <w:p w14:paraId="33141D07" w14:textId="77777777" w:rsidR="008D7166" w:rsidRDefault="008D7166">
      <w:pPr>
        <w:widowControl w:val="0"/>
        <w:spacing w:after="0" w:line="240" w:lineRule="auto"/>
        <w:ind w:left="720"/>
        <w:jc w:val="both"/>
        <w:rPr>
          <w:rFonts w:ascii="Arial" w:eastAsia="Arial" w:hAnsi="Arial" w:cs="Arial"/>
          <w:color w:val="333333"/>
        </w:rPr>
      </w:pPr>
    </w:p>
    <w:p w14:paraId="25AA615F" w14:textId="77777777" w:rsidR="008D7166" w:rsidRDefault="00233308">
      <w:pPr>
        <w:widowControl w:val="0"/>
        <w:spacing w:after="0" w:line="240" w:lineRule="auto"/>
        <w:ind w:left="720"/>
        <w:jc w:val="both"/>
        <w:rPr>
          <w:rFonts w:ascii="Arial" w:eastAsia="Arial" w:hAnsi="Arial" w:cs="Arial"/>
          <w:color w:val="333333"/>
        </w:rPr>
      </w:pPr>
      <w:r>
        <w:rPr>
          <w:rFonts w:ascii="Arial" w:eastAsia="Arial" w:hAnsi="Arial" w:cs="Arial"/>
          <w:b/>
          <w:color w:val="333333"/>
        </w:rPr>
        <w:t>Artículo 2. Inversión de los excedentes de liquidez.</w:t>
      </w:r>
      <w:r>
        <w:rPr>
          <w:rFonts w:ascii="Arial" w:eastAsia="Arial" w:hAnsi="Arial" w:cs="Arial"/>
          <w:color w:val="333333"/>
        </w:rPr>
        <w:t xml:space="preserve"> Las entidades territoriales y las entidades descentralizadas del orden territorial con participación pública</w:t>
      </w:r>
      <w:r>
        <w:rPr>
          <w:rFonts w:ascii="Arial" w:eastAsia="Arial" w:hAnsi="Arial" w:cs="Arial"/>
          <w:color w:val="333333"/>
        </w:rPr>
        <w:t xml:space="preserve"> superior al cincuenta por ciento (50%), sin perjuicio de las demás inversiones autorizadas en la ley, podrán invertir sus excedentes de liquidez, así: </w:t>
      </w:r>
    </w:p>
    <w:p w14:paraId="14664C76" w14:textId="77777777" w:rsidR="008D7166" w:rsidRDefault="008D7166">
      <w:pPr>
        <w:widowControl w:val="0"/>
        <w:spacing w:after="0" w:line="240" w:lineRule="auto"/>
        <w:ind w:left="720"/>
        <w:jc w:val="both"/>
        <w:rPr>
          <w:rFonts w:ascii="Arial" w:eastAsia="Arial" w:hAnsi="Arial" w:cs="Arial"/>
          <w:color w:val="333333"/>
        </w:rPr>
      </w:pPr>
    </w:p>
    <w:p w14:paraId="33900144" w14:textId="77777777" w:rsidR="008D7166" w:rsidRDefault="00233308">
      <w:pPr>
        <w:widowControl w:val="0"/>
        <w:spacing w:after="0" w:line="240" w:lineRule="auto"/>
        <w:ind w:left="720"/>
        <w:jc w:val="both"/>
        <w:rPr>
          <w:rFonts w:ascii="Arial" w:eastAsia="Arial" w:hAnsi="Arial" w:cs="Arial"/>
          <w:color w:val="333333"/>
        </w:rPr>
      </w:pPr>
      <w:r>
        <w:rPr>
          <w:rFonts w:ascii="Arial" w:eastAsia="Arial" w:hAnsi="Arial" w:cs="Arial"/>
          <w:color w:val="333333"/>
        </w:rPr>
        <w:t>1. En Títulos de Tesorería (TES) Clase “B”, tasa fija o indexados a la UVR, del mercado primario direc</w:t>
      </w:r>
      <w:r>
        <w:rPr>
          <w:rFonts w:ascii="Arial" w:eastAsia="Arial" w:hAnsi="Arial" w:cs="Arial"/>
          <w:color w:val="333333"/>
        </w:rPr>
        <w:t xml:space="preserve">tamente ante la Dirección General de Crédito Público y Tesoro Nacional o en el mercado secundario en condiciones de mercado y, </w:t>
      </w:r>
    </w:p>
    <w:p w14:paraId="368D6299" w14:textId="77777777" w:rsidR="008D7166" w:rsidRDefault="008D7166">
      <w:pPr>
        <w:widowControl w:val="0"/>
        <w:spacing w:after="0" w:line="240" w:lineRule="auto"/>
        <w:ind w:left="720"/>
        <w:jc w:val="both"/>
        <w:rPr>
          <w:rFonts w:ascii="Arial" w:eastAsia="Arial" w:hAnsi="Arial" w:cs="Arial"/>
          <w:color w:val="333333"/>
        </w:rPr>
      </w:pPr>
    </w:p>
    <w:p w14:paraId="690C59B4" w14:textId="77777777" w:rsidR="008D7166" w:rsidRDefault="00233308">
      <w:pPr>
        <w:widowControl w:val="0"/>
        <w:spacing w:after="0" w:line="240" w:lineRule="auto"/>
        <w:ind w:left="720"/>
        <w:jc w:val="both"/>
        <w:rPr>
          <w:rFonts w:ascii="Arial" w:eastAsia="Arial" w:hAnsi="Arial" w:cs="Arial"/>
          <w:color w:val="333333"/>
        </w:rPr>
      </w:pPr>
      <w:r>
        <w:rPr>
          <w:rFonts w:ascii="Arial" w:eastAsia="Arial" w:hAnsi="Arial" w:cs="Arial"/>
          <w:color w:val="333333"/>
        </w:rPr>
        <w:t>2. En certificados de depósitos a término, depósitos en cuenta corriente, de ahorros o a término en condiciones de mercado en e</w:t>
      </w:r>
      <w:r>
        <w:rPr>
          <w:rFonts w:ascii="Arial" w:eastAsia="Arial" w:hAnsi="Arial" w:cs="Arial"/>
          <w:color w:val="333333"/>
        </w:rPr>
        <w:t xml:space="preserve">stablecimientos de crédito vigilados por la Superintendencia Financiera de Colombia. </w:t>
      </w:r>
    </w:p>
    <w:p w14:paraId="19DA2B3B" w14:textId="77777777" w:rsidR="008D7166" w:rsidRDefault="008D7166">
      <w:pPr>
        <w:widowControl w:val="0"/>
        <w:spacing w:after="0" w:line="240" w:lineRule="auto"/>
        <w:ind w:left="720"/>
        <w:jc w:val="both"/>
        <w:rPr>
          <w:rFonts w:ascii="Arial" w:eastAsia="Arial" w:hAnsi="Arial" w:cs="Arial"/>
          <w:color w:val="333333"/>
        </w:rPr>
      </w:pPr>
    </w:p>
    <w:p w14:paraId="61B92BEE" w14:textId="77777777" w:rsidR="008D7166" w:rsidRDefault="00233308">
      <w:pPr>
        <w:widowControl w:val="0"/>
        <w:spacing w:after="0" w:line="240" w:lineRule="auto"/>
        <w:ind w:left="720"/>
        <w:jc w:val="both"/>
        <w:rPr>
          <w:rFonts w:ascii="Arial" w:eastAsia="Arial" w:hAnsi="Arial" w:cs="Arial"/>
          <w:color w:val="333333"/>
        </w:rPr>
      </w:pPr>
      <w:r>
        <w:rPr>
          <w:rFonts w:ascii="Arial" w:eastAsia="Arial" w:hAnsi="Arial" w:cs="Arial"/>
          <w:b/>
          <w:color w:val="333333"/>
        </w:rPr>
        <w:t xml:space="preserve">Parágrafo 1. </w:t>
      </w:r>
      <w:r>
        <w:rPr>
          <w:rFonts w:ascii="Arial" w:eastAsia="Arial" w:hAnsi="Arial" w:cs="Arial"/>
          <w:color w:val="333333"/>
        </w:rPr>
        <w:t>Para efectos de las inversiones en establecimientos de crédito de las que trata este artículo, estos deberán cumplir con la siguiente calificación de riesgo</w:t>
      </w:r>
      <w:r>
        <w:rPr>
          <w:rFonts w:ascii="Arial" w:eastAsia="Arial" w:hAnsi="Arial" w:cs="Arial"/>
          <w:color w:val="333333"/>
        </w:rPr>
        <w:t xml:space="preserve">, según el plazo de inversión así: </w:t>
      </w:r>
    </w:p>
    <w:p w14:paraId="17D73DD4" w14:textId="77777777" w:rsidR="008D7166" w:rsidRDefault="008D7166">
      <w:pPr>
        <w:widowControl w:val="0"/>
        <w:spacing w:after="0" w:line="240" w:lineRule="auto"/>
        <w:ind w:left="720"/>
        <w:jc w:val="both"/>
        <w:rPr>
          <w:rFonts w:ascii="Arial" w:eastAsia="Arial" w:hAnsi="Arial" w:cs="Arial"/>
          <w:color w:val="333333"/>
        </w:rPr>
      </w:pPr>
    </w:p>
    <w:p w14:paraId="376BA4DD" w14:textId="77777777" w:rsidR="008D7166" w:rsidRDefault="00233308">
      <w:pPr>
        <w:widowControl w:val="0"/>
        <w:spacing w:after="0" w:line="240" w:lineRule="auto"/>
        <w:ind w:left="720"/>
        <w:jc w:val="both"/>
        <w:rPr>
          <w:rFonts w:ascii="Arial" w:eastAsia="Arial" w:hAnsi="Arial" w:cs="Arial"/>
          <w:color w:val="333333"/>
        </w:rPr>
      </w:pPr>
      <w:r>
        <w:rPr>
          <w:rFonts w:ascii="Arial" w:eastAsia="Arial" w:hAnsi="Arial" w:cs="Arial"/>
          <w:color w:val="333333"/>
        </w:rPr>
        <w:t>1. Para inversiones con plazo igual o inferior a un (1) año, el establecimiento de crédito deberá contar con una calificación vigente correspondiente a la máxima categoría para el corto plazo, de acuerdo con las escalas usadas por las sociedades calificado</w:t>
      </w:r>
      <w:r>
        <w:rPr>
          <w:rFonts w:ascii="Arial" w:eastAsia="Arial" w:hAnsi="Arial" w:cs="Arial"/>
          <w:color w:val="333333"/>
        </w:rPr>
        <w:t xml:space="preserve">ras que la otorgan y contar como mínimo con la segunda mejor calificación vigente para el largo plazo utilizada por las respectivas sociedades. </w:t>
      </w:r>
    </w:p>
    <w:p w14:paraId="37A08AA0" w14:textId="77777777" w:rsidR="008D7166" w:rsidRDefault="00233308">
      <w:pPr>
        <w:widowControl w:val="0"/>
        <w:spacing w:after="0" w:line="240" w:lineRule="auto"/>
        <w:ind w:left="720"/>
        <w:jc w:val="both"/>
        <w:rPr>
          <w:rFonts w:ascii="Arial" w:eastAsia="Arial" w:hAnsi="Arial" w:cs="Arial"/>
          <w:color w:val="333333"/>
        </w:rPr>
      </w:pPr>
      <w:r>
        <w:rPr>
          <w:rFonts w:ascii="Arial" w:eastAsia="Arial" w:hAnsi="Arial" w:cs="Arial"/>
          <w:color w:val="333333"/>
        </w:rPr>
        <w:t>2. Para inversiones con plazo superior a un (1) año, el establecimiento de crédito deberá contar como mínimo co</w:t>
      </w:r>
      <w:r>
        <w:rPr>
          <w:rFonts w:ascii="Arial" w:eastAsia="Arial" w:hAnsi="Arial" w:cs="Arial"/>
          <w:color w:val="333333"/>
        </w:rPr>
        <w:t xml:space="preserve">n la segunda mejor calificación vigente para el largo plazo, según la escala utilizada por las sociedades calificadoras y la máxima calificación para el corto plazo de acuerdo con la escala utilizada para este plazo. </w:t>
      </w:r>
    </w:p>
    <w:p w14:paraId="24F2FBE3" w14:textId="77777777" w:rsidR="008D7166" w:rsidRDefault="00233308">
      <w:pPr>
        <w:widowControl w:val="0"/>
        <w:spacing w:after="0" w:line="240" w:lineRule="auto"/>
        <w:ind w:left="720"/>
        <w:jc w:val="both"/>
        <w:rPr>
          <w:rFonts w:ascii="Arial" w:eastAsia="Arial" w:hAnsi="Arial" w:cs="Arial"/>
          <w:color w:val="333333"/>
        </w:rPr>
      </w:pPr>
      <w:r>
        <w:rPr>
          <w:rFonts w:ascii="Arial" w:eastAsia="Arial" w:hAnsi="Arial" w:cs="Arial"/>
          <w:color w:val="333333"/>
        </w:rPr>
        <w:t xml:space="preserve">3. Las entidades territoriales podrán </w:t>
      </w:r>
      <w:r>
        <w:rPr>
          <w:rFonts w:ascii="Arial" w:eastAsia="Arial" w:hAnsi="Arial" w:cs="Arial"/>
          <w:color w:val="333333"/>
        </w:rPr>
        <w:t xml:space="preserve">seguir colocando sus excedentes de liquidez en Instituciones de Fomento y Desarrollo calificadas como de bajo riesgo crediticio. </w:t>
      </w:r>
    </w:p>
    <w:p w14:paraId="18B5EC30" w14:textId="77777777" w:rsidR="008D7166" w:rsidRDefault="008D7166">
      <w:pPr>
        <w:widowControl w:val="0"/>
        <w:spacing w:after="0" w:line="240" w:lineRule="auto"/>
        <w:ind w:left="720"/>
        <w:jc w:val="both"/>
        <w:rPr>
          <w:rFonts w:ascii="Arial" w:eastAsia="Arial" w:hAnsi="Arial" w:cs="Arial"/>
          <w:color w:val="333333"/>
        </w:rPr>
      </w:pPr>
    </w:p>
    <w:p w14:paraId="1632B42C" w14:textId="77777777" w:rsidR="008D7166" w:rsidRDefault="00233308">
      <w:pPr>
        <w:widowControl w:val="0"/>
        <w:spacing w:after="0" w:line="240" w:lineRule="auto"/>
        <w:ind w:left="720"/>
        <w:jc w:val="both"/>
        <w:rPr>
          <w:rFonts w:ascii="Arial" w:eastAsia="Arial" w:hAnsi="Arial" w:cs="Arial"/>
          <w:color w:val="333333"/>
        </w:rPr>
      </w:pPr>
      <w:r>
        <w:rPr>
          <w:rFonts w:ascii="Arial" w:eastAsia="Arial" w:hAnsi="Arial" w:cs="Arial"/>
          <w:b/>
          <w:color w:val="333333"/>
        </w:rPr>
        <w:t>Parágrafo 2.</w:t>
      </w:r>
      <w:r>
        <w:rPr>
          <w:rFonts w:ascii="Arial" w:eastAsia="Arial" w:hAnsi="Arial" w:cs="Arial"/>
          <w:color w:val="333333"/>
        </w:rPr>
        <w:t xml:space="preserve"> Tratándose de excedentes de liquidez de recursos de regalías y compensaciones deberá reportarse su inversión, tr</w:t>
      </w:r>
      <w:r>
        <w:rPr>
          <w:rFonts w:ascii="Arial" w:eastAsia="Arial" w:hAnsi="Arial" w:cs="Arial"/>
          <w:color w:val="333333"/>
        </w:rPr>
        <w:t xml:space="preserve">imestralmente, a la Dirección de Regalías del Departamento Nacional de Planeación, por medio físico y magnético, dentro del mes siguiente a la fecha de corte de cada trimestre y a través de los formatos que para tal efecto sea diseñados por la entidad. </w:t>
      </w:r>
    </w:p>
    <w:p w14:paraId="3236C172" w14:textId="77777777" w:rsidR="008D7166" w:rsidRDefault="008D7166">
      <w:pPr>
        <w:widowControl w:val="0"/>
        <w:spacing w:after="0" w:line="240" w:lineRule="auto"/>
        <w:ind w:left="720"/>
        <w:jc w:val="both"/>
        <w:rPr>
          <w:rFonts w:ascii="Arial" w:eastAsia="Arial" w:hAnsi="Arial" w:cs="Arial"/>
          <w:color w:val="333333"/>
        </w:rPr>
      </w:pPr>
    </w:p>
    <w:p w14:paraId="79A7F47F" w14:textId="77777777" w:rsidR="008D7166" w:rsidRDefault="00233308">
      <w:pPr>
        <w:widowControl w:val="0"/>
        <w:spacing w:after="0" w:line="240" w:lineRule="auto"/>
        <w:ind w:left="720"/>
        <w:jc w:val="both"/>
        <w:rPr>
          <w:rFonts w:ascii="Arial" w:eastAsia="Arial" w:hAnsi="Arial" w:cs="Arial"/>
          <w:color w:val="333333"/>
        </w:rPr>
      </w:pPr>
      <w:r>
        <w:rPr>
          <w:rFonts w:ascii="Arial" w:eastAsia="Arial" w:hAnsi="Arial" w:cs="Arial"/>
          <w:b/>
          <w:color w:val="333333"/>
        </w:rPr>
        <w:t>P</w:t>
      </w:r>
      <w:r>
        <w:rPr>
          <w:rFonts w:ascii="Arial" w:eastAsia="Arial" w:hAnsi="Arial" w:cs="Arial"/>
          <w:b/>
          <w:color w:val="333333"/>
        </w:rPr>
        <w:t>arágrafo 3.</w:t>
      </w:r>
      <w:r>
        <w:rPr>
          <w:rFonts w:ascii="Arial" w:eastAsia="Arial" w:hAnsi="Arial" w:cs="Arial"/>
          <w:color w:val="333333"/>
        </w:rPr>
        <w:t xml:space="preserve"> Los recursos de que trata este artículo podrán seguir siendo invertidos en fondos de inversión colectiva del mercado monetario o abiertos sin pacto de permanencia administrados por sociedades fiduciarias, conforme a la normatividad vigente. </w:t>
      </w:r>
    </w:p>
    <w:p w14:paraId="3B5BB448" w14:textId="77777777" w:rsidR="008D7166" w:rsidRDefault="008D7166">
      <w:pPr>
        <w:widowControl w:val="0"/>
        <w:spacing w:after="0" w:line="240" w:lineRule="auto"/>
        <w:ind w:left="720"/>
        <w:jc w:val="both"/>
        <w:rPr>
          <w:rFonts w:ascii="Arial" w:eastAsia="Arial" w:hAnsi="Arial" w:cs="Arial"/>
          <w:color w:val="333333"/>
        </w:rPr>
      </w:pPr>
    </w:p>
    <w:p w14:paraId="482009A5" w14:textId="77777777" w:rsidR="008D7166" w:rsidRDefault="00233308">
      <w:pPr>
        <w:widowControl w:val="0"/>
        <w:spacing w:after="0" w:line="240" w:lineRule="auto"/>
        <w:ind w:left="720"/>
        <w:jc w:val="both"/>
        <w:rPr>
          <w:rFonts w:ascii="Arial" w:eastAsia="Arial" w:hAnsi="Arial" w:cs="Arial"/>
          <w:color w:val="333333"/>
        </w:rPr>
      </w:pPr>
      <w:r>
        <w:rPr>
          <w:rFonts w:ascii="Arial" w:eastAsia="Arial" w:hAnsi="Arial" w:cs="Arial"/>
          <w:b/>
          <w:color w:val="333333"/>
        </w:rPr>
        <w:t>P</w:t>
      </w:r>
      <w:r>
        <w:rPr>
          <w:rFonts w:ascii="Arial" w:eastAsia="Arial" w:hAnsi="Arial" w:cs="Arial"/>
          <w:b/>
          <w:color w:val="333333"/>
        </w:rPr>
        <w:t>arágrafo 4.</w:t>
      </w:r>
      <w:r>
        <w:rPr>
          <w:rFonts w:ascii="Arial" w:eastAsia="Arial" w:hAnsi="Arial" w:cs="Arial"/>
          <w:color w:val="333333"/>
        </w:rPr>
        <w:t xml:space="preserve"> El Gobierno Nacional, a través del Ministerio de Hacienda y Crédito Público, reglamentará lo dispuesto en el presente artículo. </w:t>
      </w:r>
    </w:p>
    <w:p w14:paraId="101ED077" w14:textId="77777777" w:rsidR="008D7166" w:rsidRDefault="008D7166">
      <w:pPr>
        <w:widowControl w:val="0"/>
        <w:spacing w:after="0" w:line="240" w:lineRule="auto"/>
        <w:ind w:left="720"/>
        <w:jc w:val="both"/>
        <w:rPr>
          <w:rFonts w:ascii="Arial" w:eastAsia="Arial" w:hAnsi="Arial" w:cs="Arial"/>
          <w:color w:val="333333"/>
        </w:rPr>
      </w:pPr>
      <w:bookmarkStart w:id="70" w:name="_heading=h.hgplmllo4noe" w:colFirst="0" w:colLast="0"/>
      <w:bookmarkEnd w:id="70"/>
    </w:p>
    <w:p w14:paraId="093030B0" w14:textId="77777777" w:rsidR="008D7166" w:rsidRDefault="00233308">
      <w:pPr>
        <w:widowControl w:val="0"/>
        <w:spacing w:after="0" w:line="240" w:lineRule="auto"/>
        <w:ind w:left="720"/>
        <w:jc w:val="both"/>
        <w:rPr>
          <w:rFonts w:ascii="Arial" w:eastAsia="Arial" w:hAnsi="Arial" w:cs="Arial"/>
          <w:color w:val="333333"/>
        </w:rPr>
      </w:pPr>
      <w:r>
        <w:rPr>
          <w:rFonts w:ascii="Arial" w:eastAsia="Arial" w:hAnsi="Arial" w:cs="Arial"/>
          <w:b/>
          <w:color w:val="333333"/>
        </w:rPr>
        <w:t>Artículo 3. Control y Vigilancia.</w:t>
      </w:r>
      <w:r>
        <w:rPr>
          <w:rFonts w:ascii="Arial" w:eastAsia="Arial" w:hAnsi="Arial" w:cs="Arial"/>
          <w:color w:val="333333"/>
        </w:rPr>
        <w:t xml:space="preserve"> En los casos en que las entidades de orden territorial de que trata la presente </w:t>
      </w:r>
      <w:r>
        <w:rPr>
          <w:rFonts w:ascii="Arial" w:eastAsia="Arial" w:hAnsi="Arial" w:cs="Arial"/>
          <w:color w:val="333333"/>
        </w:rPr>
        <w:t>Ley inviertan sus excedentes de liquidez en establecimientos de crédito diferentes a los establecimientos bancarios, la Superintendencia Financiera ejercerá el control y vigilancia a dichos establecimientos de crédito a través de los mecanismos con los que</w:t>
      </w:r>
      <w:r>
        <w:rPr>
          <w:rFonts w:ascii="Arial" w:eastAsia="Arial" w:hAnsi="Arial" w:cs="Arial"/>
          <w:color w:val="333333"/>
        </w:rPr>
        <w:t xml:space="preserve"> ya cuenta la entidad. </w:t>
      </w:r>
    </w:p>
    <w:p w14:paraId="18C8800B" w14:textId="77777777" w:rsidR="008D7166" w:rsidRDefault="008D7166">
      <w:pPr>
        <w:widowControl w:val="0"/>
        <w:spacing w:after="0" w:line="240" w:lineRule="auto"/>
        <w:ind w:left="720"/>
        <w:jc w:val="both"/>
        <w:rPr>
          <w:rFonts w:ascii="Arial" w:eastAsia="Arial" w:hAnsi="Arial" w:cs="Arial"/>
          <w:color w:val="333333"/>
        </w:rPr>
      </w:pPr>
      <w:bookmarkStart w:id="71" w:name="_heading=h.ry541rczu4qq" w:colFirst="0" w:colLast="0"/>
      <w:bookmarkEnd w:id="71"/>
    </w:p>
    <w:p w14:paraId="5EE4F0FF" w14:textId="77777777" w:rsidR="008D7166" w:rsidRDefault="00233308">
      <w:pPr>
        <w:widowControl w:val="0"/>
        <w:spacing w:after="0" w:line="240" w:lineRule="auto"/>
        <w:ind w:left="720"/>
        <w:jc w:val="both"/>
        <w:rPr>
          <w:rFonts w:ascii="Arial" w:eastAsia="Arial" w:hAnsi="Arial" w:cs="Arial"/>
          <w:color w:val="333333"/>
        </w:rPr>
      </w:pPr>
      <w:r>
        <w:rPr>
          <w:rFonts w:ascii="Arial" w:eastAsia="Arial" w:hAnsi="Arial" w:cs="Arial"/>
          <w:b/>
          <w:color w:val="333333"/>
        </w:rPr>
        <w:t>Artículo 4. Publicidad y transparencia.</w:t>
      </w:r>
      <w:r>
        <w:rPr>
          <w:rFonts w:ascii="Arial" w:eastAsia="Arial" w:hAnsi="Arial" w:cs="Arial"/>
          <w:color w:val="333333"/>
        </w:rPr>
        <w:t xml:space="preserve"> Las operaciones de las que trata la presente Ley estarán sujetas a los principios de publicidad y transparencia, por lo que las entidades de orden territorial de que trata la presente Ley deb</w:t>
      </w:r>
      <w:r>
        <w:rPr>
          <w:rFonts w:ascii="Arial" w:eastAsia="Arial" w:hAnsi="Arial" w:cs="Arial"/>
          <w:color w:val="333333"/>
        </w:rPr>
        <w:t>erán publicar y socializar anualmente a la ciudadanía un informe que dé cuenta de sus inversiones de excedentes de liquidez en establecimientos de crédito y del estado de las mismas, sin perjuicio de los demás mecanismos de rendición de cuentas con los que</w:t>
      </w:r>
      <w:r>
        <w:rPr>
          <w:rFonts w:ascii="Arial" w:eastAsia="Arial" w:hAnsi="Arial" w:cs="Arial"/>
          <w:color w:val="333333"/>
        </w:rPr>
        <w:t xml:space="preserve"> ya cuentan las entidades. </w:t>
      </w:r>
    </w:p>
    <w:p w14:paraId="0FFE6006" w14:textId="77777777" w:rsidR="008D7166" w:rsidRDefault="008D7166">
      <w:pPr>
        <w:widowControl w:val="0"/>
        <w:spacing w:after="0" w:line="240" w:lineRule="auto"/>
        <w:ind w:left="720"/>
        <w:jc w:val="both"/>
        <w:rPr>
          <w:rFonts w:ascii="Arial" w:eastAsia="Arial" w:hAnsi="Arial" w:cs="Arial"/>
          <w:color w:val="333333"/>
        </w:rPr>
      </w:pPr>
      <w:bookmarkStart w:id="72" w:name="_heading=h.ymxw0aq96r9k" w:colFirst="0" w:colLast="0"/>
      <w:bookmarkEnd w:id="72"/>
    </w:p>
    <w:p w14:paraId="2CB6838C" w14:textId="77777777" w:rsidR="008D7166" w:rsidRDefault="00233308">
      <w:pPr>
        <w:widowControl w:val="0"/>
        <w:spacing w:after="0" w:line="240" w:lineRule="auto"/>
        <w:ind w:left="720"/>
        <w:jc w:val="both"/>
        <w:rPr>
          <w:rFonts w:ascii="Arial" w:eastAsia="Arial" w:hAnsi="Arial" w:cs="Arial"/>
          <w:color w:val="333333"/>
        </w:rPr>
      </w:pPr>
      <w:r>
        <w:rPr>
          <w:rFonts w:ascii="Arial" w:eastAsia="Arial" w:hAnsi="Arial" w:cs="Arial"/>
          <w:b/>
          <w:color w:val="333333"/>
        </w:rPr>
        <w:lastRenderedPageBreak/>
        <w:t>Artículo 5. Vigencia y derogaciones.</w:t>
      </w:r>
      <w:r>
        <w:rPr>
          <w:rFonts w:ascii="Arial" w:eastAsia="Arial" w:hAnsi="Arial" w:cs="Arial"/>
          <w:color w:val="333333"/>
        </w:rPr>
        <w:t xml:space="preserve"> La presente ley rige a partir de su promulgación y deroga todas las disposiciones que le sean contrarias.</w:t>
      </w:r>
    </w:p>
    <w:p w14:paraId="1191B35A" w14:textId="77777777" w:rsidR="008D7166" w:rsidRDefault="008D7166">
      <w:pPr>
        <w:widowControl w:val="0"/>
        <w:spacing w:after="0" w:line="240" w:lineRule="auto"/>
        <w:jc w:val="both"/>
        <w:rPr>
          <w:rFonts w:ascii="Arial" w:eastAsia="Arial" w:hAnsi="Arial" w:cs="Arial"/>
          <w:color w:val="333333"/>
        </w:rPr>
      </w:pPr>
      <w:bookmarkStart w:id="73" w:name="_heading=h.wsl4tu7c30cx" w:colFirst="0" w:colLast="0"/>
      <w:bookmarkStart w:id="74" w:name="_heading=h.g10yp07tj18p" w:colFirst="0" w:colLast="0"/>
      <w:bookmarkEnd w:id="73"/>
      <w:bookmarkEnd w:id="74"/>
    </w:p>
    <w:p w14:paraId="1D9A36B9" w14:textId="77777777" w:rsidR="008D7166" w:rsidRDefault="00233308">
      <w:pPr>
        <w:widowControl w:val="0"/>
        <w:spacing w:after="0" w:line="240" w:lineRule="auto"/>
        <w:jc w:val="both"/>
        <w:rPr>
          <w:rFonts w:ascii="Arial" w:eastAsia="Arial" w:hAnsi="Arial" w:cs="Arial"/>
          <w:color w:val="333333"/>
        </w:rPr>
      </w:pPr>
      <w:bookmarkStart w:id="75" w:name="_heading=h.x7rjadqgvzmf" w:colFirst="0" w:colLast="0"/>
      <w:bookmarkEnd w:id="75"/>
      <w:r>
        <w:rPr>
          <w:rFonts w:ascii="Arial" w:eastAsia="Arial" w:hAnsi="Arial" w:cs="Arial"/>
          <w:color w:val="333333"/>
        </w:rPr>
        <w:t>Para cumplir con la designación realizada por las Mesas Directivas de ambas células</w:t>
      </w:r>
      <w:r>
        <w:rPr>
          <w:rFonts w:ascii="Arial" w:eastAsia="Arial" w:hAnsi="Arial" w:cs="Arial"/>
          <w:color w:val="333333"/>
        </w:rPr>
        <w:t xml:space="preserve"> legislativas, se procede a realizar un estudio comparativo de los textos aprobados en las respectivas cámaras con el fin de analizar las discrepancias entre los dos textos y proponer un texto que supere las divergencias entre las dos corporaciones. Esto, </w:t>
      </w:r>
      <w:r>
        <w:rPr>
          <w:rFonts w:ascii="Arial" w:eastAsia="Arial" w:hAnsi="Arial" w:cs="Arial"/>
          <w:color w:val="333333"/>
        </w:rPr>
        <w:t>teniendo en cuenta que el proyecto de ley en mención tuvo modificaciones en su trámite entre Senado y Cámara de Representantes que hacen necesaria su conciliación.</w:t>
      </w:r>
    </w:p>
    <w:p w14:paraId="4032256F" w14:textId="77777777" w:rsidR="008D7166" w:rsidRDefault="008D7166">
      <w:pPr>
        <w:widowControl w:val="0"/>
        <w:spacing w:after="0" w:line="240" w:lineRule="auto"/>
        <w:jc w:val="both"/>
        <w:rPr>
          <w:rFonts w:ascii="Arial" w:eastAsia="Arial" w:hAnsi="Arial" w:cs="Arial"/>
          <w:color w:val="333333"/>
        </w:rPr>
      </w:pPr>
      <w:bookmarkStart w:id="76" w:name="_heading=h.1p6mxdqfe6ln" w:colFirst="0" w:colLast="0"/>
      <w:bookmarkEnd w:id="76"/>
    </w:p>
    <w:p w14:paraId="5ED2DF13" w14:textId="77777777" w:rsidR="008D7166" w:rsidRDefault="00233308">
      <w:pPr>
        <w:widowControl w:val="0"/>
        <w:spacing w:after="0" w:line="240" w:lineRule="auto"/>
        <w:jc w:val="both"/>
        <w:rPr>
          <w:rFonts w:ascii="Arial" w:eastAsia="Arial" w:hAnsi="Arial" w:cs="Arial"/>
          <w:color w:val="333333"/>
        </w:rPr>
      </w:pPr>
      <w:bookmarkStart w:id="77" w:name="_heading=h.z91m4yf2rstb" w:colFirst="0" w:colLast="0"/>
      <w:bookmarkEnd w:id="77"/>
      <w:r>
        <w:rPr>
          <w:rFonts w:ascii="Arial" w:eastAsia="Arial" w:hAnsi="Arial" w:cs="Arial"/>
          <w:color w:val="333333"/>
        </w:rPr>
        <w:t>A continuación se presenta el siguiente cuadro comparativo de los textos aprobados por cada</w:t>
      </w:r>
      <w:r>
        <w:rPr>
          <w:rFonts w:ascii="Arial" w:eastAsia="Arial" w:hAnsi="Arial" w:cs="Arial"/>
          <w:color w:val="333333"/>
        </w:rPr>
        <w:t xml:space="preserve"> e indicando el texto que se propone adoptar:</w:t>
      </w:r>
    </w:p>
    <w:p w14:paraId="5AC4CE3E" w14:textId="77777777" w:rsidR="008D7166" w:rsidRDefault="008D7166">
      <w:pPr>
        <w:widowControl w:val="0"/>
        <w:spacing w:after="0" w:line="240" w:lineRule="auto"/>
        <w:jc w:val="both"/>
        <w:rPr>
          <w:rFonts w:ascii="Arial" w:eastAsia="Arial" w:hAnsi="Arial" w:cs="Arial"/>
          <w:color w:val="333333"/>
        </w:rPr>
      </w:pPr>
      <w:bookmarkStart w:id="78" w:name="_heading=h.vx5gba56ruu1" w:colFirst="0" w:colLast="0"/>
      <w:bookmarkEnd w:id="78"/>
    </w:p>
    <w:p w14:paraId="4B290168" w14:textId="77777777" w:rsidR="008D7166" w:rsidRDefault="008D7166">
      <w:pPr>
        <w:widowControl w:val="0"/>
        <w:spacing w:after="0" w:line="240" w:lineRule="auto"/>
        <w:jc w:val="both"/>
        <w:rPr>
          <w:rFonts w:ascii="Arial" w:eastAsia="Arial" w:hAnsi="Arial" w:cs="Arial"/>
          <w:color w:val="333333"/>
        </w:rPr>
      </w:pPr>
      <w:bookmarkStart w:id="79" w:name="_heading=h.w194qz1dph11" w:colFirst="0" w:colLast="0"/>
      <w:bookmarkEnd w:id="79"/>
    </w:p>
    <w:sdt>
      <w:sdtPr>
        <w:tag w:val="goog_rdk_1"/>
        <w:id w:val="-1102181236"/>
        <w:lock w:val="contentLocked"/>
      </w:sdtPr>
      <w:sdtEndPr/>
      <w:sdtContent>
        <w:tbl>
          <w:tblPr>
            <w:tblStyle w:val="a6"/>
            <w:tblW w:w="88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65"/>
            <w:gridCol w:w="3135"/>
            <w:gridCol w:w="2520"/>
          </w:tblGrid>
          <w:tr w:rsidR="008D7166" w14:paraId="1AB6142F" w14:textId="77777777">
            <w:tc>
              <w:tcPr>
                <w:tcW w:w="3165" w:type="dxa"/>
                <w:shd w:val="clear" w:color="auto" w:fill="auto"/>
                <w:tcMar>
                  <w:top w:w="100" w:type="dxa"/>
                  <w:left w:w="100" w:type="dxa"/>
                  <w:bottom w:w="100" w:type="dxa"/>
                  <w:right w:w="100" w:type="dxa"/>
                </w:tcMar>
              </w:tcPr>
              <w:p w14:paraId="7F27C74C" w14:textId="77777777" w:rsidR="008D7166" w:rsidRDefault="00233308">
                <w:pPr>
                  <w:widowControl w:val="0"/>
                  <w:pBdr>
                    <w:top w:val="nil"/>
                    <w:left w:val="nil"/>
                    <w:bottom w:val="nil"/>
                    <w:right w:val="nil"/>
                    <w:between w:val="nil"/>
                  </w:pBdr>
                  <w:spacing w:after="0" w:line="240" w:lineRule="auto"/>
                  <w:jc w:val="center"/>
                  <w:rPr>
                    <w:rFonts w:ascii="Arial" w:eastAsia="Arial" w:hAnsi="Arial" w:cs="Arial"/>
                    <w:b/>
                    <w:color w:val="333333"/>
                  </w:rPr>
                </w:pPr>
                <w:r>
                  <w:rPr>
                    <w:rFonts w:ascii="Arial" w:eastAsia="Arial" w:hAnsi="Arial" w:cs="Arial"/>
                    <w:b/>
                    <w:color w:val="333333"/>
                  </w:rPr>
                  <w:t>TEXTO CÁMARA DE REPRESENTANTES</w:t>
                </w:r>
              </w:p>
            </w:tc>
            <w:tc>
              <w:tcPr>
                <w:tcW w:w="3135" w:type="dxa"/>
                <w:shd w:val="clear" w:color="auto" w:fill="auto"/>
                <w:tcMar>
                  <w:top w:w="100" w:type="dxa"/>
                  <w:left w:w="100" w:type="dxa"/>
                  <w:bottom w:w="100" w:type="dxa"/>
                  <w:right w:w="100" w:type="dxa"/>
                </w:tcMar>
              </w:tcPr>
              <w:p w14:paraId="3415AA9E" w14:textId="77777777" w:rsidR="008D7166" w:rsidRDefault="00233308">
                <w:pPr>
                  <w:widowControl w:val="0"/>
                  <w:pBdr>
                    <w:top w:val="nil"/>
                    <w:left w:val="nil"/>
                    <w:bottom w:val="nil"/>
                    <w:right w:val="nil"/>
                    <w:between w:val="nil"/>
                  </w:pBdr>
                  <w:spacing w:after="0" w:line="240" w:lineRule="auto"/>
                  <w:jc w:val="center"/>
                  <w:rPr>
                    <w:rFonts w:ascii="Arial" w:eastAsia="Arial" w:hAnsi="Arial" w:cs="Arial"/>
                    <w:b/>
                    <w:color w:val="333333"/>
                  </w:rPr>
                </w:pPr>
                <w:r>
                  <w:rPr>
                    <w:rFonts w:ascii="Arial" w:eastAsia="Arial" w:hAnsi="Arial" w:cs="Arial"/>
                    <w:b/>
                    <w:color w:val="333333"/>
                  </w:rPr>
                  <w:t>TEXTO SENADO DE LA REPÚBLICA</w:t>
                </w:r>
              </w:p>
            </w:tc>
            <w:tc>
              <w:tcPr>
                <w:tcW w:w="2520" w:type="dxa"/>
                <w:shd w:val="clear" w:color="auto" w:fill="auto"/>
                <w:tcMar>
                  <w:top w:w="100" w:type="dxa"/>
                  <w:left w:w="100" w:type="dxa"/>
                  <w:bottom w:w="100" w:type="dxa"/>
                  <w:right w:w="100" w:type="dxa"/>
                </w:tcMar>
              </w:tcPr>
              <w:p w14:paraId="3E3F3A8D" w14:textId="77777777" w:rsidR="008D7166" w:rsidRDefault="00233308">
                <w:pPr>
                  <w:widowControl w:val="0"/>
                  <w:pBdr>
                    <w:top w:val="nil"/>
                    <w:left w:val="nil"/>
                    <w:bottom w:val="nil"/>
                    <w:right w:val="nil"/>
                    <w:between w:val="nil"/>
                  </w:pBdr>
                  <w:spacing w:after="0" w:line="240" w:lineRule="auto"/>
                  <w:jc w:val="center"/>
                  <w:rPr>
                    <w:rFonts w:ascii="Arial" w:eastAsia="Arial" w:hAnsi="Arial" w:cs="Arial"/>
                    <w:b/>
                    <w:color w:val="333333"/>
                  </w:rPr>
                </w:pPr>
                <w:r>
                  <w:rPr>
                    <w:rFonts w:ascii="Arial" w:eastAsia="Arial" w:hAnsi="Arial" w:cs="Arial"/>
                    <w:b/>
                    <w:color w:val="333333"/>
                  </w:rPr>
                  <w:t>TEXTO QUE SE ACOGE</w:t>
                </w:r>
              </w:p>
            </w:tc>
          </w:tr>
          <w:tr w:rsidR="008D7166" w14:paraId="683A9D7B" w14:textId="77777777">
            <w:tc>
              <w:tcPr>
                <w:tcW w:w="3165" w:type="dxa"/>
                <w:shd w:val="clear" w:color="auto" w:fill="auto"/>
                <w:tcMar>
                  <w:top w:w="100" w:type="dxa"/>
                  <w:left w:w="100" w:type="dxa"/>
                  <w:bottom w:w="100" w:type="dxa"/>
                  <w:right w:w="100" w:type="dxa"/>
                </w:tcMar>
              </w:tcPr>
              <w:p w14:paraId="56310433" w14:textId="77777777" w:rsidR="008D7166" w:rsidRDefault="00233308">
                <w:pPr>
                  <w:widowControl w:val="0"/>
                  <w:spacing w:after="0" w:line="240" w:lineRule="auto"/>
                  <w:jc w:val="center"/>
                  <w:rPr>
                    <w:rFonts w:ascii="Arial" w:eastAsia="Arial" w:hAnsi="Arial" w:cs="Arial"/>
                    <w:b/>
                    <w:color w:val="333333"/>
                  </w:rPr>
                </w:pPr>
                <w:r>
                  <w:rPr>
                    <w:rFonts w:ascii="Arial" w:eastAsia="Arial" w:hAnsi="Arial" w:cs="Arial"/>
                    <w:b/>
                    <w:color w:val="333333"/>
                  </w:rPr>
                  <w:t xml:space="preserve">Por medio del cual se promueve la competencia justa en el sector financiero y se dictan otras disposiciones. </w:t>
                </w:r>
              </w:p>
              <w:p w14:paraId="317AEA0D" w14:textId="77777777" w:rsidR="008D7166" w:rsidRDefault="008D7166">
                <w:pPr>
                  <w:widowControl w:val="0"/>
                  <w:pBdr>
                    <w:top w:val="nil"/>
                    <w:left w:val="nil"/>
                    <w:bottom w:val="nil"/>
                    <w:right w:val="nil"/>
                    <w:between w:val="nil"/>
                  </w:pBdr>
                  <w:spacing w:after="0" w:line="240" w:lineRule="auto"/>
                  <w:jc w:val="center"/>
                  <w:rPr>
                    <w:rFonts w:ascii="Arial" w:eastAsia="Arial" w:hAnsi="Arial" w:cs="Arial"/>
                    <w:color w:val="333333"/>
                  </w:rPr>
                </w:pPr>
              </w:p>
            </w:tc>
            <w:tc>
              <w:tcPr>
                <w:tcW w:w="3135" w:type="dxa"/>
                <w:shd w:val="clear" w:color="auto" w:fill="auto"/>
                <w:tcMar>
                  <w:top w:w="100" w:type="dxa"/>
                  <w:left w:w="100" w:type="dxa"/>
                  <w:bottom w:w="100" w:type="dxa"/>
                  <w:right w:w="100" w:type="dxa"/>
                </w:tcMar>
              </w:tcPr>
              <w:p w14:paraId="5371C02D" w14:textId="77777777" w:rsidR="008D7166" w:rsidRDefault="00233308">
                <w:pPr>
                  <w:widowControl w:val="0"/>
                  <w:spacing w:after="0" w:line="240" w:lineRule="auto"/>
                  <w:jc w:val="center"/>
                  <w:rPr>
                    <w:rFonts w:ascii="Arial" w:eastAsia="Arial" w:hAnsi="Arial" w:cs="Arial"/>
                    <w:b/>
                    <w:color w:val="333333"/>
                  </w:rPr>
                </w:pPr>
                <w:r>
                  <w:rPr>
                    <w:rFonts w:ascii="Arial" w:eastAsia="Arial" w:hAnsi="Arial" w:cs="Arial"/>
                    <w:b/>
                    <w:color w:val="333333"/>
                  </w:rPr>
                  <w:t xml:space="preserve">Por medio del cual se promueve la competencia justa en el sector financiero y se dictan otras disposiciones. </w:t>
                </w:r>
              </w:p>
              <w:p w14:paraId="4DE654D0" w14:textId="77777777" w:rsidR="008D7166" w:rsidRDefault="008D7166">
                <w:pPr>
                  <w:widowControl w:val="0"/>
                  <w:pBdr>
                    <w:top w:val="nil"/>
                    <w:left w:val="nil"/>
                    <w:bottom w:val="nil"/>
                    <w:right w:val="nil"/>
                    <w:between w:val="nil"/>
                  </w:pBdr>
                  <w:spacing w:after="0" w:line="240" w:lineRule="auto"/>
                  <w:jc w:val="center"/>
                  <w:rPr>
                    <w:rFonts w:ascii="Arial" w:eastAsia="Arial" w:hAnsi="Arial" w:cs="Arial"/>
                    <w:color w:val="333333"/>
                  </w:rPr>
                </w:pPr>
              </w:p>
            </w:tc>
            <w:tc>
              <w:tcPr>
                <w:tcW w:w="2520" w:type="dxa"/>
                <w:shd w:val="clear" w:color="auto" w:fill="auto"/>
                <w:tcMar>
                  <w:top w:w="100" w:type="dxa"/>
                  <w:left w:w="100" w:type="dxa"/>
                  <w:bottom w:w="100" w:type="dxa"/>
                  <w:right w:w="100" w:type="dxa"/>
                </w:tcMar>
              </w:tcPr>
              <w:p w14:paraId="1850A0EF" w14:textId="77777777" w:rsidR="008D7166" w:rsidRDefault="00233308">
                <w:pPr>
                  <w:widowControl w:val="0"/>
                  <w:pBdr>
                    <w:top w:val="nil"/>
                    <w:left w:val="nil"/>
                    <w:bottom w:val="nil"/>
                    <w:right w:val="nil"/>
                    <w:between w:val="nil"/>
                  </w:pBdr>
                  <w:spacing w:after="0" w:line="240" w:lineRule="auto"/>
                  <w:rPr>
                    <w:rFonts w:ascii="Arial" w:eastAsia="Arial" w:hAnsi="Arial" w:cs="Arial"/>
                    <w:color w:val="333333"/>
                  </w:rPr>
                </w:pPr>
                <w:r>
                  <w:rPr>
                    <w:rFonts w:ascii="Arial" w:eastAsia="Arial" w:hAnsi="Arial" w:cs="Arial"/>
                    <w:color w:val="333333"/>
                  </w:rPr>
                  <w:t>Es el mismo texto en las dos corporaciones</w:t>
                </w:r>
              </w:p>
            </w:tc>
          </w:tr>
          <w:tr w:rsidR="008D7166" w14:paraId="5D42DDFB" w14:textId="77777777">
            <w:tc>
              <w:tcPr>
                <w:tcW w:w="3165" w:type="dxa"/>
                <w:shd w:val="clear" w:color="auto" w:fill="auto"/>
                <w:tcMar>
                  <w:top w:w="100" w:type="dxa"/>
                  <w:left w:w="100" w:type="dxa"/>
                  <w:bottom w:w="100" w:type="dxa"/>
                  <w:right w:w="100" w:type="dxa"/>
                </w:tcMar>
              </w:tcPr>
              <w:p w14:paraId="2BB85B6A" w14:textId="77777777" w:rsidR="008D7166" w:rsidRDefault="00233308">
                <w:pPr>
                  <w:widowControl w:val="0"/>
                  <w:spacing w:after="0" w:line="240" w:lineRule="auto"/>
                  <w:jc w:val="both"/>
                  <w:rPr>
                    <w:rFonts w:ascii="Arial" w:eastAsia="Arial" w:hAnsi="Arial" w:cs="Arial"/>
                    <w:color w:val="333333"/>
                  </w:rPr>
                </w:pPr>
                <w:bookmarkStart w:id="80" w:name="_heading=h.614uhhbfjk8p" w:colFirst="0" w:colLast="0"/>
                <w:bookmarkEnd w:id="80"/>
                <w:r>
                  <w:rPr>
                    <w:rFonts w:ascii="Arial" w:eastAsia="Arial" w:hAnsi="Arial" w:cs="Arial"/>
                    <w:b/>
                    <w:color w:val="333333"/>
                  </w:rPr>
                  <w:t>Artículo 1°. Objeto.</w:t>
                </w:r>
                <w:r>
                  <w:rPr>
                    <w:rFonts w:ascii="Arial" w:eastAsia="Arial" w:hAnsi="Arial" w:cs="Arial"/>
                    <w:color w:val="333333"/>
                  </w:rPr>
                  <w:t xml:space="preserve"> La presente ley busca promover condiciones de libertad e igualdad para las entidades financieras en la competencia de este sector, permitiendo que todas las entidades de naturaleza financiera puedan ofrecer sus servicios a cualquier entidad territorial y </w:t>
                </w:r>
                <w:r>
                  <w:rPr>
                    <w:rFonts w:ascii="Arial" w:eastAsia="Arial" w:hAnsi="Arial" w:cs="Arial"/>
                    <w:color w:val="333333"/>
                  </w:rPr>
                  <w:t>a las descentralizadas de estas que deseen invertir sus recursos de excedentes de liquidez.</w:t>
                </w:r>
              </w:p>
            </w:tc>
            <w:tc>
              <w:tcPr>
                <w:tcW w:w="3135" w:type="dxa"/>
                <w:shd w:val="clear" w:color="auto" w:fill="auto"/>
                <w:tcMar>
                  <w:top w:w="100" w:type="dxa"/>
                  <w:left w:w="100" w:type="dxa"/>
                  <w:bottom w:w="100" w:type="dxa"/>
                  <w:right w:w="100" w:type="dxa"/>
                </w:tcMar>
              </w:tcPr>
              <w:p w14:paraId="5A97C247" w14:textId="77777777" w:rsidR="008D7166" w:rsidRDefault="00233308">
                <w:pPr>
                  <w:widowControl w:val="0"/>
                  <w:spacing w:after="0" w:line="240" w:lineRule="auto"/>
                  <w:jc w:val="both"/>
                  <w:rPr>
                    <w:rFonts w:ascii="Arial" w:eastAsia="Arial" w:hAnsi="Arial" w:cs="Arial"/>
                    <w:color w:val="333333"/>
                  </w:rPr>
                </w:pPr>
                <w:r>
                  <w:rPr>
                    <w:rFonts w:ascii="Arial" w:eastAsia="Arial" w:hAnsi="Arial" w:cs="Arial"/>
                    <w:b/>
                    <w:color w:val="333333"/>
                  </w:rPr>
                  <w:t>Artículo 1. Objeto.</w:t>
                </w:r>
                <w:r>
                  <w:rPr>
                    <w:rFonts w:ascii="Arial" w:eastAsia="Arial" w:hAnsi="Arial" w:cs="Arial"/>
                    <w:color w:val="333333"/>
                  </w:rPr>
                  <w:t xml:space="preserve"> La presente ley promueve condiciones de libertad y competencia justa para los establecimientos de crédito, permitiendo que todas las institucion</w:t>
                </w:r>
                <w:r>
                  <w:rPr>
                    <w:rFonts w:ascii="Arial" w:eastAsia="Arial" w:hAnsi="Arial" w:cs="Arial"/>
                    <w:color w:val="333333"/>
                  </w:rPr>
                  <w:t>es financieras que los comprenden puedan ofrecer sus servicios a las entidades territoriales y a las entidades descentralizadas del orden territorial para invertir sus recursos de excedentes de liquidez.</w:t>
                </w:r>
              </w:p>
            </w:tc>
            <w:tc>
              <w:tcPr>
                <w:tcW w:w="2520" w:type="dxa"/>
                <w:shd w:val="clear" w:color="auto" w:fill="auto"/>
                <w:tcMar>
                  <w:top w:w="100" w:type="dxa"/>
                  <w:left w:w="100" w:type="dxa"/>
                  <w:bottom w:w="100" w:type="dxa"/>
                  <w:right w:w="100" w:type="dxa"/>
                </w:tcMar>
              </w:tcPr>
              <w:p w14:paraId="0B0516A8" w14:textId="77777777" w:rsidR="008D7166" w:rsidRDefault="00233308">
                <w:pPr>
                  <w:widowControl w:val="0"/>
                  <w:pBdr>
                    <w:top w:val="nil"/>
                    <w:left w:val="nil"/>
                    <w:bottom w:val="nil"/>
                    <w:right w:val="nil"/>
                    <w:between w:val="nil"/>
                  </w:pBdr>
                  <w:spacing w:after="0" w:line="240" w:lineRule="auto"/>
                  <w:rPr>
                    <w:rFonts w:ascii="Arial" w:eastAsia="Arial" w:hAnsi="Arial" w:cs="Arial"/>
                    <w:color w:val="333333"/>
                  </w:rPr>
                </w:pPr>
                <w:r>
                  <w:rPr>
                    <w:rFonts w:ascii="Arial" w:eastAsia="Arial" w:hAnsi="Arial" w:cs="Arial"/>
                    <w:color w:val="333333"/>
                  </w:rPr>
                  <w:t>Se acoge el texto del Senado de la República</w:t>
                </w:r>
              </w:p>
            </w:tc>
          </w:tr>
          <w:tr w:rsidR="008D7166" w14:paraId="54072623" w14:textId="77777777">
            <w:tc>
              <w:tcPr>
                <w:tcW w:w="3165" w:type="dxa"/>
                <w:shd w:val="clear" w:color="auto" w:fill="auto"/>
                <w:tcMar>
                  <w:top w:w="100" w:type="dxa"/>
                  <w:left w:w="100" w:type="dxa"/>
                  <w:bottom w:w="100" w:type="dxa"/>
                  <w:right w:w="100" w:type="dxa"/>
                </w:tcMar>
              </w:tcPr>
              <w:p w14:paraId="694AD3CD" w14:textId="77777777" w:rsidR="008D7166" w:rsidRDefault="00233308">
                <w:pPr>
                  <w:widowControl w:val="0"/>
                  <w:spacing w:after="0" w:line="240" w:lineRule="auto"/>
                  <w:jc w:val="both"/>
                  <w:rPr>
                    <w:rFonts w:ascii="Arial" w:eastAsia="Arial" w:hAnsi="Arial" w:cs="Arial"/>
                    <w:color w:val="333333"/>
                  </w:rPr>
                </w:pPr>
                <w:bookmarkStart w:id="81" w:name="_heading=h.kqbqc2cgsvrl" w:colFirst="0" w:colLast="0"/>
                <w:bookmarkEnd w:id="81"/>
                <w:r>
                  <w:rPr>
                    <w:rFonts w:ascii="Arial" w:eastAsia="Arial" w:hAnsi="Arial" w:cs="Arial"/>
                    <w:b/>
                    <w:color w:val="333333"/>
                  </w:rPr>
                  <w:t>Artícu</w:t>
                </w:r>
                <w:r>
                  <w:rPr>
                    <w:rFonts w:ascii="Arial" w:eastAsia="Arial" w:hAnsi="Arial" w:cs="Arial"/>
                    <w:b/>
                    <w:color w:val="333333"/>
                  </w:rPr>
                  <w:t xml:space="preserve">lo 2°. Inversión de excedentes de liquidez. </w:t>
                </w:r>
                <w:r>
                  <w:rPr>
                    <w:rFonts w:ascii="Arial" w:eastAsia="Arial" w:hAnsi="Arial" w:cs="Arial"/>
                    <w:color w:val="333333"/>
                  </w:rPr>
                  <w:t>En función de lo dispuesto por el artículo 17 de la Ley 819 de 2003, las entidades territoriales y las entidades descentralizadas del orden territorial con participación pública superior al cincuenta por ciento (</w:t>
                </w:r>
                <w:r>
                  <w:rPr>
                    <w:rFonts w:ascii="Arial" w:eastAsia="Arial" w:hAnsi="Arial" w:cs="Arial"/>
                    <w:color w:val="333333"/>
                  </w:rPr>
                  <w:t xml:space="preserve">50%), sin perjuicio </w:t>
                </w:r>
                <w:r>
                  <w:rPr>
                    <w:rFonts w:ascii="Arial" w:eastAsia="Arial" w:hAnsi="Arial" w:cs="Arial"/>
                    <w:color w:val="333333"/>
                  </w:rPr>
                  <w:lastRenderedPageBreak/>
                  <w:t xml:space="preserve">de las demás inversiones autorizadas en la ley, podrán invertir sus excedentes de liquidez en certificados de depósitos a término, depósitos en cuenta corriente, de ahorros o a término en condiciones de mercado en entidades financieras </w:t>
                </w:r>
                <w:r>
                  <w:rPr>
                    <w:rFonts w:ascii="Arial" w:eastAsia="Arial" w:hAnsi="Arial" w:cs="Arial"/>
                    <w:color w:val="333333"/>
                  </w:rPr>
                  <w:t xml:space="preserve">vigiladas por la Superintendencia Financiera de Colombia. </w:t>
                </w:r>
              </w:p>
              <w:p w14:paraId="76AC55B5" w14:textId="77777777" w:rsidR="008D7166" w:rsidRDefault="008D7166">
                <w:pPr>
                  <w:widowControl w:val="0"/>
                  <w:spacing w:after="0" w:line="240" w:lineRule="auto"/>
                  <w:jc w:val="both"/>
                  <w:rPr>
                    <w:rFonts w:ascii="Arial" w:eastAsia="Arial" w:hAnsi="Arial" w:cs="Arial"/>
                    <w:color w:val="333333"/>
                  </w:rPr>
                </w:pPr>
                <w:bookmarkStart w:id="82" w:name="_heading=h.d775cndiezxf" w:colFirst="0" w:colLast="0"/>
                <w:bookmarkEnd w:id="82"/>
              </w:p>
              <w:p w14:paraId="4C60F2B8" w14:textId="77777777" w:rsidR="008D7166" w:rsidRDefault="00233308">
                <w:pPr>
                  <w:widowControl w:val="0"/>
                  <w:spacing w:after="0" w:line="240" w:lineRule="auto"/>
                  <w:jc w:val="both"/>
                  <w:rPr>
                    <w:rFonts w:ascii="Arial" w:eastAsia="Arial" w:hAnsi="Arial" w:cs="Arial"/>
                    <w:color w:val="333333"/>
                  </w:rPr>
                </w:pPr>
                <w:bookmarkStart w:id="83" w:name="_heading=h.asla3l3v15zb" w:colFirst="0" w:colLast="0"/>
                <w:bookmarkEnd w:id="83"/>
                <w:r>
                  <w:rPr>
                    <w:rFonts w:ascii="Arial" w:eastAsia="Arial" w:hAnsi="Arial" w:cs="Arial"/>
                    <w:b/>
                    <w:color w:val="333333"/>
                  </w:rPr>
                  <w:t>Parágrafo 1°.</w:t>
                </w:r>
                <w:r>
                  <w:rPr>
                    <w:rFonts w:ascii="Arial" w:eastAsia="Arial" w:hAnsi="Arial" w:cs="Arial"/>
                    <w:color w:val="333333"/>
                  </w:rPr>
                  <w:t xml:space="preserve"> Para efectos de las inversiones en entidades financieras de las que trata este artículo, estas entidades deberán cumplir con la siguiente calificación de riesgo, según el plazo de in</w:t>
                </w:r>
                <w:r>
                  <w:rPr>
                    <w:rFonts w:ascii="Arial" w:eastAsia="Arial" w:hAnsi="Arial" w:cs="Arial"/>
                    <w:color w:val="333333"/>
                  </w:rPr>
                  <w:t xml:space="preserve">versión, así: </w:t>
                </w:r>
              </w:p>
              <w:p w14:paraId="3E4C6153" w14:textId="77777777" w:rsidR="008D7166" w:rsidRDefault="008D7166">
                <w:pPr>
                  <w:widowControl w:val="0"/>
                  <w:spacing w:after="0" w:line="240" w:lineRule="auto"/>
                  <w:ind w:left="720"/>
                  <w:jc w:val="both"/>
                  <w:rPr>
                    <w:rFonts w:ascii="Arial" w:eastAsia="Arial" w:hAnsi="Arial" w:cs="Arial"/>
                    <w:color w:val="333333"/>
                  </w:rPr>
                </w:pPr>
                <w:bookmarkStart w:id="84" w:name="_heading=h.qhrmnr5bh6r" w:colFirst="0" w:colLast="0"/>
                <w:bookmarkEnd w:id="84"/>
              </w:p>
              <w:p w14:paraId="133E76E3" w14:textId="77777777" w:rsidR="008D7166" w:rsidRDefault="00233308">
                <w:pPr>
                  <w:widowControl w:val="0"/>
                  <w:spacing w:after="0" w:line="240" w:lineRule="auto"/>
                  <w:jc w:val="both"/>
                  <w:rPr>
                    <w:rFonts w:ascii="Arial" w:eastAsia="Arial" w:hAnsi="Arial" w:cs="Arial"/>
                    <w:color w:val="333333"/>
                  </w:rPr>
                </w:pPr>
                <w:bookmarkStart w:id="85" w:name="_heading=h.8sz31ptjdveu" w:colFirst="0" w:colLast="0"/>
                <w:bookmarkEnd w:id="85"/>
                <w:r>
                  <w:rPr>
                    <w:rFonts w:ascii="Arial" w:eastAsia="Arial" w:hAnsi="Arial" w:cs="Arial"/>
                    <w:color w:val="333333"/>
                  </w:rPr>
                  <w:t xml:space="preserve">1. Para inversiones con plazo igual o inferior a un (1) año, la entidad financiera deberá contar con una calificación vigente correspondiente a la máxima categoría para el corto plazo, de acuerdo con las escalas usadas por las sociedades calificadoras que </w:t>
                </w:r>
                <w:r>
                  <w:rPr>
                    <w:rFonts w:ascii="Arial" w:eastAsia="Arial" w:hAnsi="Arial" w:cs="Arial"/>
                    <w:color w:val="333333"/>
                  </w:rPr>
                  <w:t xml:space="preserve">la otorgan y contar como mínimo con la segunda mejor calificación vigente para el largo plazo utilizada por las respectivas sociedades; </w:t>
                </w:r>
              </w:p>
              <w:p w14:paraId="5E638BC0" w14:textId="77777777" w:rsidR="008D7166" w:rsidRDefault="00233308">
                <w:pPr>
                  <w:widowControl w:val="0"/>
                  <w:spacing w:after="0" w:line="240" w:lineRule="auto"/>
                  <w:jc w:val="both"/>
                  <w:rPr>
                    <w:rFonts w:ascii="Arial" w:eastAsia="Arial" w:hAnsi="Arial" w:cs="Arial"/>
                    <w:color w:val="333333"/>
                  </w:rPr>
                </w:pPr>
                <w:bookmarkStart w:id="86" w:name="_heading=h.rex7v0pdsx2g" w:colFirst="0" w:colLast="0"/>
                <w:bookmarkEnd w:id="86"/>
                <w:r>
                  <w:rPr>
                    <w:rFonts w:ascii="Arial" w:eastAsia="Arial" w:hAnsi="Arial" w:cs="Arial"/>
                    <w:color w:val="333333"/>
                  </w:rPr>
                  <w:t>2. Para inversiones con plazo superior a un (1) año, la entidad financiera deberá contar como mínimo con la segunda mej</w:t>
                </w:r>
                <w:r>
                  <w:rPr>
                    <w:rFonts w:ascii="Arial" w:eastAsia="Arial" w:hAnsi="Arial" w:cs="Arial"/>
                    <w:color w:val="333333"/>
                  </w:rPr>
                  <w:t xml:space="preserve">or calificación vigente para el largo plazo, según la escala utilizada por las sociedades calificadoras y la máxima calificación para el corto plazo de acuerdo con la escala utilizada para este plazo; </w:t>
                </w:r>
              </w:p>
              <w:p w14:paraId="2BF521D0" w14:textId="77777777" w:rsidR="008D7166" w:rsidRDefault="00233308">
                <w:pPr>
                  <w:widowControl w:val="0"/>
                  <w:spacing w:after="0" w:line="240" w:lineRule="auto"/>
                  <w:jc w:val="both"/>
                  <w:rPr>
                    <w:rFonts w:ascii="Arial" w:eastAsia="Arial" w:hAnsi="Arial" w:cs="Arial"/>
                    <w:color w:val="333333"/>
                  </w:rPr>
                </w:pPr>
                <w:bookmarkStart w:id="87" w:name="_heading=h.eh094vcgn5dt" w:colFirst="0" w:colLast="0"/>
                <w:bookmarkEnd w:id="87"/>
                <w:r>
                  <w:rPr>
                    <w:rFonts w:ascii="Arial" w:eastAsia="Arial" w:hAnsi="Arial" w:cs="Arial"/>
                    <w:color w:val="333333"/>
                  </w:rPr>
                  <w:t xml:space="preserve">3. Las entidades territoriales </w:t>
                </w:r>
                <w:r>
                  <w:rPr>
                    <w:rFonts w:ascii="Arial" w:eastAsia="Arial" w:hAnsi="Arial" w:cs="Arial"/>
                    <w:color w:val="333333"/>
                  </w:rPr>
                  <w:lastRenderedPageBreak/>
                  <w:t>podrán seguir colocando</w:t>
                </w:r>
                <w:r>
                  <w:rPr>
                    <w:rFonts w:ascii="Arial" w:eastAsia="Arial" w:hAnsi="Arial" w:cs="Arial"/>
                    <w:color w:val="333333"/>
                  </w:rPr>
                  <w:t xml:space="preserve"> sus excedentes de liquidez en Institutos de Fomento y Desarrollo calificados como de bajo riesgo crediticio. </w:t>
                </w:r>
              </w:p>
              <w:p w14:paraId="761EF2F7" w14:textId="77777777" w:rsidR="008D7166" w:rsidRDefault="008D7166">
                <w:pPr>
                  <w:widowControl w:val="0"/>
                  <w:spacing w:after="0" w:line="240" w:lineRule="auto"/>
                  <w:ind w:left="720"/>
                  <w:jc w:val="both"/>
                  <w:rPr>
                    <w:rFonts w:ascii="Arial" w:eastAsia="Arial" w:hAnsi="Arial" w:cs="Arial"/>
                    <w:color w:val="333333"/>
                  </w:rPr>
                </w:pPr>
                <w:bookmarkStart w:id="88" w:name="_heading=h.yo9saw7qsa54" w:colFirst="0" w:colLast="0"/>
                <w:bookmarkEnd w:id="88"/>
              </w:p>
              <w:p w14:paraId="1C5BD5BC" w14:textId="77777777" w:rsidR="008D7166" w:rsidRDefault="00233308">
                <w:pPr>
                  <w:widowControl w:val="0"/>
                  <w:spacing w:after="0" w:line="240" w:lineRule="auto"/>
                  <w:jc w:val="both"/>
                  <w:rPr>
                    <w:rFonts w:ascii="Arial" w:eastAsia="Arial" w:hAnsi="Arial" w:cs="Arial"/>
                    <w:color w:val="333333"/>
                  </w:rPr>
                </w:pPr>
                <w:bookmarkStart w:id="89" w:name="_heading=h.nkjzk6up2s7n" w:colFirst="0" w:colLast="0"/>
                <w:bookmarkEnd w:id="89"/>
                <w:r>
                  <w:rPr>
                    <w:rFonts w:ascii="Arial" w:eastAsia="Arial" w:hAnsi="Arial" w:cs="Arial"/>
                    <w:b/>
                    <w:color w:val="333333"/>
                  </w:rPr>
                  <w:t>Parágrafo 2°.</w:t>
                </w:r>
                <w:r>
                  <w:rPr>
                    <w:rFonts w:ascii="Arial" w:eastAsia="Arial" w:hAnsi="Arial" w:cs="Arial"/>
                    <w:color w:val="333333"/>
                  </w:rPr>
                  <w:t xml:space="preserve"> Tratándose de excedentes de liquidez de recursos de regalías y compensaciones deberá reportarse su inversión, trimestralmente, a l</w:t>
                </w:r>
                <w:r>
                  <w:rPr>
                    <w:rFonts w:ascii="Arial" w:eastAsia="Arial" w:hAnsi="Arial" w:cs="Arial"/>
                    <w:color w:val="333333"/>
                  </w:rPr>
                  <w:t xml:space="preserve">a Dirección de Regalías del Departamento Nacional de Planeación, por medio físico y magnético, dentro del mes siguiente a la fecha de corte de cada trimestre y a través de los formatos que para tal efecto sean diseñados por la entidad. </w:t>
                </w:r>
              </w:p>
              <w:p w14:paraId="0A234546" w14:textId="77777777" w:rsidR="008D7166" w:rsidRDefault="008D7166">
                <w:pPr>
                  <w:widowControl w:val="0"/>
                  <w:spacing w:after="0" w:line="240" w:lineRule="auto"/>
                  <w:jc w:val="both"/>
                  <w:rPr>
                    <w:rFonts w:ascii="Arial" w:eastAsia="Arial" w:hAnsi="Arial" w:cs="Arial"/>
                    <w:color w:val="333333"/>
                  </w:rPr>
                </w:pPr>
                <w:bookmarkStart w:id="90" w:name="_heading=h.288q6vm0ox9u" w:colFirst="0" w:colLast="0"/>
                <w:bookmarkEnd w:id="90"/>
              </w:p>
              <w:p w14:paraId="062535D9" w14:textId="77777777" w:rsidR="008D7166" w:rsidRDefault="00233308">
                <w:pPr>
                  <w:widowControl w:val="0"/>
                  <w:spacing w:after="0" w:line="240" w:lineRule="auto"/>
                  <w:jc w:val="both"/>
                  <w:rPr>
                    <w:rFonts w:ascii="Arial" w:eastAsia="Arial" w:hAnsi="Arial" w:cs="Arial"/>
                    <w:color w:val="333333"/>
                  </w:rPr>
                </w:pPr>
                <w:bookmarkStart w:id="91" w:name="_heading=h.q6cz995idy1j" w:colFirst="0" w:colLast="0"/>
                <w:bookmarkEnd w:id="91"/>
                <w:r>
                  <w:rPr>
                    <w:rFonts w:ascii="Arial" w:eastAsia="Arial" w:hAnsi="Arial" w:cs="Arial"/>
                    <w:b/>
                    <w:color w:val="333333"/>
                  </w:rPr>
                  <w:t>Parágrafo 3°.</w:t>
                </w:r>
                <w:r>
                  <w:rPr>
                    <w:rFonts w:ascii="Arial" w:eastAsia="Arial" w:hAnsi="Arial" w:cs="Arial"/>
                    <w:color w:val="333333"/>
                  </w:rPr>
                  <w:t xml:space="preserve"> El G</w:t>
                </w:r>
                <w:r>
                  <w:rPr>
                    <w:rFonts w:ascii="Arial" w:eastAsia="Arial" w:hAnsi="Arial" w:cs="Arial"/>
                    <w:color w:val="333333"/>
                  </w:rPr>
                  <w:t xml:space="preserve">obierno nacional, a través del Ministerio de Hacienda y Crédito Público, reglamentará lo dispuesto en el presente artículo. </w:t>
                </w:r>
              </w:p>
              <w:p w14:paraId="5C8F67C6" w14:textId="77777777" w:rsidR="008D7166" w:rsidRDefault="008D7166">
                <w:pPr>
                  <w:widowControl w:val="0"/>
                  <w:spacing w:after="0" w:line="240" w:lineRule="auto"/>
                  <w:ind w:left="720"/>
                  <w:jc w:val="both"/>
                  <w:rPr>
                    <w:rFonts w:ascii="Arial" w:eastAsia="Arial" w:hAnsi="Arial" w:cs="Arial"/>
                    <w:color w:val="333333"/>
                  </w:rPr>
                </w:pPr>
                <w:bookmarkStart w:id="92" w:name="_heading=h.37wkoi120dnw" w:colFirst="0" w:colLast="0"/>
                <w:bookmarkEnd w:id="92"/>
              </w:p>
              <w:p w14:paraId="048CFBA3" w14:textId="77777777" w:rsidR="008D7166" w:rsidRDefault="008D7166">
                <w:pPr>
                  <w:widowControl w:val="0"/>
                  <w:spacing w:after="0" w:line="240" w:lineRule="auto"/>
                  <w:jc w:val="both"/>
                  <w:rPr>
                    <w:rFonts w:ascii="Arial" w:eastAsia="Arial" w:hAnsi="Arial" w:cs="Arial"/>
                    <w:color w:val="333333"/>
                  </w:rPr>
                </w:pPr>
                <w:bookmarkStart w:id="93" w:name="_heading=h.odwdiu5oqjhf" w:colFirst="0" w:colLast="0"/>
                <w:bookmarkEnd w:id="93"/>
              </w:p>
            </w:tc>
            <w:tc>
              <w:tcPr>
                <w:tcW w:w="3135" w:type="dxa"/>
                <w:shd w:val="clear" w:color="auto" w:fill="auto"/>
                <w:tcMar>
                  <w:top w:w="100" w:type="dxa"/>
                  <w:left w:w="100" w:type="dxa"/>
                  <w:bottom w:w="100" w:type="dxa"/>
                  <w:right w:w="100" w:type="dxa"/>
                </w:tcMar>
              </w:tcPr>
              <w:p w14:paraId="2F9E547D" w14:textId="77777777" w:rsidR="008D7166" w:rsidRDefault="00233308">
                <w:pPr>
                  <w:widowControl w:val="0"/>
                  <w:spacing w:after="0" w:line="240" w:lineRule="auto"/>
                  <w:jc w:val="both"/>
                  <w:rPr>
                    <w:rFonts w:ascii="Arial" w:eastAsia="Arial" w:hAnsi="Arial" w:cs="Arial"/>
                    <w:color w:val="333333"/>
                  </w:rPr>
                </w:pPr>
                <w:r>
                  <w:rPr>
                    <w:rFonts w:ascii="Arial" w:eastAsia="Arial" w:hAnsi="Arial" w:cs="Arial"/>
                    <w:b/>
                    <w:color w:val="333333"/>
                  </w:rPr>
                  <w:lastRenderedPageBreak/>
                  <w:t>Artículo 2. Inversión de los excedentes de liquidez.</w:t>
                </w:r>
                <w:r>
                  <w:rPr>
                    <w:rFonts w:ascii="Arial" w:eastAsia="Arial" w:hAnsi="Arial" w:cs="Arial"/>
                    <w:color w:val="333333"/>
                  </w:rPr>
                  <w:t xml:space="preserve"> Las entidades territoriales y las entidades descentralizadas del orden terri</w:t>
                </w:r>
                <w:r>
                  <w:rPr>
                    <w:rFonts w:ascii="Arial" w:eastAsia="Arial" w:hAnsi="Arial" w:cs="Arial"/>
                    <w:color w:val="333333"/>
                  </w:rPr>
                  <w:t xml:space="preserve">torial con participación pública superior al cincuenta por ciento (50%), sin perjuicio de las demás inversiones autorizadas en la ley, podrán invertir sus </w:t>
                </w:r>
                <w:r>
                  <w:rPr>
                    <w:rFonts w:ascii="Arial" w:eastAsia="Arial" w:hAnsi="Arial" w:cs="Arial"/>
                    <w:color w:val="333333"/>
                  </w:rPr>
                  <w:lastRenderedPageBreak/>
                  <w:t xml:space="preserve">excedentes de liquidez, así: </w:t>
                </w:r>
              </w:p>
              <w:p w14:paraId="681C02B2" w14:textId="77777777" w:rsidR="008D7166" w:rsidRDefault="008D7166">
                <w:pPr>
                  <w:widowControl w:val="0"/>
                  <w:spacing w:after="0" w:line="240" w:lineRule="auto"/>
                  <w:ind w:left="720"/>
                  <w:jc w:val="both"/>
                  <w:rPr>
                    <w:rFonts w:ascii="Arial" w:eastAsia="Arial" w:hAnsi="Arial" w:cs="Arial"/>
                    <w:color w:val="333333"/>
                  </w:rPr>
                </w:pPr>
              </w:p>
              <w:p w14:paraId="15A044DA" w14:textId="77777777" w:rsidR="008D7166" w:rsidRDefault="00233308">
                <w:pPr>
                  <w:widowControl w:val="0"/>
                  <w:spacing w:after="0" w:line="240" w:lineRule="auto"/>
                  <w:jc w:val="both"/>
                  <w:rPr>
                    <w:rFonts w:ascii="Arial" w:eastAsia="Arial" w:hAnsi="Arial" w:cs="Arial"/>
                    <w:color w:val="333333"/>
                  </w:rPr>
                </w:pPr>
                <w:r>
                  <w:rPr>
                    <w:rFonts w:ascii="Arial" w:eastAsia="Arial" w:hAnsi="Arial" w:cs="Arial"/>
                    <w:color w:val="333333"/>
                  </w:rPr>
                  <w:t xml:space="preserve">1. En Títulos de Tesorería (TES) Clase “B”, tasa fija o indexados a la UVR, del mercado primario directamente ante la Dirección General de Crédito Público y Tesoro Nacional o en el mercado secundario en condiciones de mercado y, </w:t>
                </w:r>
              </w:p>
              <w:p w14:paraId="407E1F09" w14:textId="77777777" w:rsidR="008D7166" w:rsidRDefault="008D7166">
                <w:pPr>
                  <w:widowControl w:val="0"/>
                  <w:spacing w:after="0" w:line="240" w:lineRule="auto"/>
                  <w:ind w:left="720"/>
                  <w:jc w:val="both"/>
                  <w:rPr>
                    <w:rFonts w:ascii="Arial" w:eastAsia="Arial" w:hAnsi="Arial" w:cs="Arial"/>
                    <w:color w:val="333333"/>
                  </w:rPr>
                </w:pPr>
              </w:p>
              <w:p w14:paraId="41796CD1" w14:textId="77777777" w:rsidR="008D7166" w:rsidRDefault="00233308">
                <w:pPr>
                  <w:widowControl w:val="0"/>
                  <w:spacing w:after="0" w:line="240" w:lineRule="auto"/>
                  <w:jc w:val="both"/>
                  <w:rPr>
                    <w:rFonts w:ascii="Arial" w:eastAsia="Arial" w:hAnsi="Arial" w:cs="Arial"/>
                    <w:color w:val="333333"/>
                  </w:rPr>
                </w:pPr>
                <w:r>
                  <w:rPr>
                    <w:rFonts w:ascii="Arial" w:eastAsia="Arial" w:hAnsi="Arial" w:cs="Arial"/>
                    <w:color w:val="333333"/>
                  </w:rPr>
                  <w:t>2. En certificados de dep</w:t>
                </w:r>
                <w:r>
                  <w:rPr>
                    <w:rFonts w:ascii="Arial" w:eastAsia="Arial" w:hAnsi="Arial" w:cs="Arial"/>
                    <w:color w:val="333333"/>
                  </w:rPr>
                  <w:t xml:space="preserve">ósitos a término, depósitos en cuenta corriente, de ahorros o a término en condiciones de mercado en establecimientos de crédito vigilados por la Superintendencia Financiera de Colombia. </w:t>
                </w:r>
              </w:p>
              <w:p w14:paraId="6A5071E1" w14:textId="77777777" w:rsidR="008D7166" w:rsidRDefault="008D7166">
                <w:pPr>
                  <w:widowControl w:val="0"/>
                  <w:spacing w:after="0" w:line="240" w:lineRule="auto"/>
                  <w:ind w:left="720"/>
                  <w:jc w:val="both"/>
                  <w:rPr>
                    <w:rFonts w:ascii="Arial" w:eastAsia="Arial" w:hAnsi="Arial" w:cs="Arial"/>
                    <w:color w:val="333333"/>
                  </w:rPr>
                </w:pPr>
              </w:p>
              <w:p w14:paraId="2B2DAA6B" w14:textId="77777777" w:rsidR="008D7166" w:rsidRDefault="00233308">
                <w:pPr>
                  <w:widowControl w:val="0"/>
                  <w:spacing w:after="0" w:line="240" w:lineRule="auto"/>
                  <w:jc w:val="both"/>
                  <w:rPr>
                    <w:rFonts w:ascii="Arial" w:eastAsia="Arial" w:hAnsi="Arial" w:cs="Arial"/>
                    <w:color w:val="333333"/>
                  </w:rPr>
                </w:pPr>
                <w:r>
                  <w:rPr>
                    <w:rFonts w:ascii="Arial" w:eastAsia="Arial" w:hAnsi="Arial" w:cs="Arial"/>
                    <w:b/>
                    <w:color w:val="333333"/>
                  </w:rPr>
                  <w:t xml:space="preserve">Parágrafo 1. </w:t>
                </w:r>
                <w:r>
                  <w:rPr>
                    <w:rFonts w:ascii="Arial" w:eastAsia="Arial" w:hAnsi="Arial" w:cs="Arial"/>
                    <w:color w:val="333333"/>
                  </w:rPr>
                  <w:t>Para efectos de las inversiones en establecimientos de</w:t>
                </w:r>
                <w:r>
                  <w:rPr>
                    <w:rFonts w:ascii="Arial" w:eastAsia="Arial" w:hAnsi="Arial" w:cs="Arial"/>
                    <w:color w:val="333333"/>
                  </w:rPr>
                  <w:t xml:space="preserve"> crédito de las que trata este artículo, estos deberán cumplir con la siguiente calificación de riesgo, según el plazo de inversión así: </w:t>
                </w:r>
              </w:p>
              <w:p w14:paraId="11EF9102" w14:textId="77777777" w:rsidR="008D7166" w:rsidRDefault="008D7166">
                <w:pPr>
                  <w:widowControl w:val="0"/>
                  <w:spacing w:after="0" w:line="240" w:lineRule="auto"/>
                  <w:ind w:left="720"/>
                  <w:jc w:val="both"/>
                  <w:rPr>
                    <w:rFonts w:ascii="Arial" w:eastAsia="Arial" w:hAnsi="Arial" w:cs="Arial"/>
                    <w:color w:val="333333"/>
                  </w:rPr>
                </w:pPr>
              </w:p>
              <w:p w14:paraId="2E9AADCE" w14:textId="77777777" w:rsidR="008D7166" w:rsidRDefault="00233308">
                <w:pPr>
                  <w:widowControl w:val="0"/>
                  <w:spacing w:after="0" w:line="240" w:lineRule="auto"/>
                  <w:jc w:val="both"/>
                  <w:rPr>
                    <w:rFonts w:ascii="Arial" w:eastAsia="Arial" w:hAnsi="Arial" w:cs="Arial"/>
                    <w:color w:val="333333"/>
                  </w:rPr>
                </w:pPr>
                <w:r>
                  <w:rPr>
                    <w:rFonts w:ascii="Arial" w:eastAsia="Arial" w:hAnsi="Arial" w:cs="Arial"/>
                    <w:color w:val="333333"/>
                  </w:rPr>
                  <w:t>1. Para inversiones con plazo igual o inferior a un (1) año, el establecimiento de crédito deberá contar con una cali</w:t>
                </w:r>
                <w:r>
                  <w:rPr>
                    <w:rFonts w:ascii="Arial" w:eastAsia="Arial" w:hAnsi="Arial" w:cs="Arial"/>
                    <w:color w:val="333333"/>
                  </w:rPr>
                  <w:t>ficación vigente correspondiente a la máxima categoría para el corto plazo, de acuerdo con las escalas usadas por las sociedades calificadoras que la otorgan y contar como mínimo con la segunda mejor calificación vigente para el largo plazo utilizada por l</w:t>
                </w:r>
                <w:r>
                  <w:rPr>
                    <w:rFonts w:ascii="Arial" w:eastAsia="Arial" w:hAnsi="Arial" w:cs="Arial"/>
                    <w:color w:val="333333"/>
                  </w:rPr>
                  <w:t xml:space="preserve">as respectivas sociedades. </w:t>
                </w:r>
              </w:p>
              <w:p w14:paraId="7F0A7486" w14:textId="77777777" w:rsidR="008D7166" w:rsidRDefault="00233308">
                <w:pPr>
                  <w:widowControl w:val="0"/>
                  <w:spacing w:after="0" w:line="240" w:lineRule="auto"/>
                  <w:jc w:val="both"/>
                  <w:rPr>
                    <w:rFonts w:ascii="Arial" w:eastAsia="Arial" w:hAnsi="Arial" w:cs="Arial"/>
                    <w:color w:val="333333"/>
                  </w:rPr>
                </w:pPr>
                <w:r>
                  <w:rPr>
                    <w:rFonts w:ascii="Arial" w:eastAsia="Arial" w:hAnsi="Arial" w:cs="Arial"/>
                    <w:color w:val="333333"/>
                  </w:rPr>
                  <w:t xml:space="preserve">2. Para inversiones con plazo superior a un (1) año, el establecimiento de crédito </w:t>
                </w:r>
                <w:r>
                  <w:rPr>
                    <w:rFonts w:ascii="Arial" w:eastAsia="Arial" w:hAnsi="Arial" w:cs="Arial"/>
                    <w:color w:val="333333"/>
                  </w:rPr>
                  <w:lastRenderedPageBreak/>
                  <w:t>deberá contar como mínimo con la segunda mejor calificación vigente para el largo plazo, según la escala utilizada por las sociedades calificador</w:t>
                </w:r>
                <w:r>
                  <w:rPr>
                    <w:rFonts w:ascii="Arial" w:eastAsia="Arial" w:hAnsi="Arial" w:cs="Arial"/>
                    <w:color w:val="333333"/>
                  </w:rPr>
                  <w:t xml:space="preserve">as y la máxima calificación para el corto plazo de acuerdo con la escala utilizada para este plazo. </w:t>
                </w:r>
              </w:p>
              <w:p w14:paraId="4F253DD4" w14:textId="77777777" w:rsidR="008D7166" w:rsidRDefault="00233308">
                <w:pPr>
                  <w:widowControl w:val="0"/>
                  <w:spacing w:after="0" w:line="240" w:lineRule="auto"/>
                  <w:jc w:val="both"/>
                  <w:rPr>
                    <w:rFonts w:ascii="Arial" w:eastAsia="Arial" w:hAnsi="Arial" w:cs="Arial"/>
                    <w:color w:val="333333"/>
                  </w:rPr>
                </w:pPr>
                <w:r>
                  <w:rPr>
                    <w:rFonts w:ascii="Arial" w:eastAsia="Arial" w:hAnsi="Arial" w:cs="Arial"/>
                    <w:color w:val="333333"/>
                  </w:rPr>
                  <w:t xml:space="preserve">3. Las entidades territoriales podrán seguir colocando sus excedentes de liquidez en Instituciones de Fomento y Desarrollo calificadas como de bajo riesgo </w:t>
                </w:r>
                <w:r>
                  <w:rPr>
                    <w:rFonts w:ascii="Arial" w:eastAsia="Arial" w:hAnsi="Arial" w:cs="Arial"/>
                    <w:color w:val="333333"/>
                  </w:rPr>
                  <w:t xml:space="preserve">crediticio. </w:t>
                </w:r>
              </w:p>
              <w:p w14:paraId="62C1BF50" w14:textId="77777777" w:rsidR="008D7166" w:rsidRDefault="008D7166">
                <w:pPr>
                  <w:widowControl w:val="0"/>
                  <w:spacing w:after="0" w:line="240" w:lineRule="auto"/>
                  <w:ind w:left="720"/>
                  <w:jc w:val="both"/>
                  <w:rPr>
                    <w:rFonts w:ascii="Arial" w:eastAsia="Arial" w:hAnsi="Arial" w:cs="Arial"/>
                    <w:color w:val="333333"/>
                  </w:rPr>
                </w:pPr>
              </w:p>
              <w:p w14:paraId="3DD53CF9" w14:textId="77777777" w:rsidR="008D7166" w:rsidRDefault="00233308">
                <w:pPr>
                  <w:widowControl w:val="0"/>
                  <w:spacing w:after="0" w:line="240" w:lineRule="auto"/>
                  <w:jc w:val="both"/>
                  <w:rPr>
                    <w:rFonts w:ascii="Arial" w:eastAsia="Arial" w:hAnsi="Arial" w:cs="Arial"/>
                    <w:color w:val="333333"/>
                  </w:rPr>
                </w:pPr>
                <w:r>
                  <w:rPr>
                    <w:rFonts w:ascii="Arial" w:eastAsia="Arial" w:hAnsi="Arial" w:cs="Arial"/>
                    <w:b/>
                    <w:color w:val="333333"/>
                  </w:rPr>
                  <w:t>Parágrafo 2.</w:t>
                </w:r>
                <w:r>
                  <w:rPr>
                    <w:rFonts w:ascii="Arial" w:eastAsia="Arial" w:hAnsi="Arial" w:cs="Arial"/>
                    <w:color w:val="333333"/>
                  </w:rPr>
                  <w:t xml:space="preserve"> Tratándose de excedentes de liquidez de recursos de regalías y compensaciones deberá reportarse su inversión, trimestralmente, a la Dirección de Regalías del Departamento Nacional de Planeación, por medio físico y magnético, dent</w:t>
                </w:r>
                <w:r>
                  <w:rPr>
                    <w:rFonts w:ascii="Arial" w:eastAsia="Arial" w:hAnsi="Arial" w:cs="Arial"/>
                    <w:color w:val="333333"/>
                  </w:rPr>
                  <w:t xml:space="preserve">ro del mes siguiente a la fecha de corte de cada trimestre y a través de los formatos que para tal efecto sea diseñados por la entidad. </w:t>
                </w:r>
              </w:p>
              <w:p w14:paraId="3890FF4A" w14:textId="77777777" w:rsidR="008D7166" w:rsidRDefault="008D7166">
                <w:pPr>
                  <w:widowControl w:val="0"/>
                  <w:spacing w:after="0" w:line="240" w:lineRule="auto"/>
                  <w:ind w:left="720"/>
                  <w:jc w:val="both"/>
                  <w:rPr>
                    <w:rFonts w:ascii="Arial" w:eastAsia="Arial" w:hAnsi="Arial" w:cs="Arial"/>
                    <w:color w:val="333333"/>
                  </w:rPr>
                </w:pPr>
              </w:p>
              <w:p w14:paraId="2D9E83C3" w14:textId="77777777" w:rsidR="008D7166" w:rsidRDefault="00233308">
                <w:pPr>
                  <w:widowControl w:val="0"/>
                  <w:spacing w:after="0" w:line="240" w:lineRule="auto"/>
                  <w:jc w:val="both"/>
                  <w:rPr>
                    <w:rFonts w:ascii="Arial" w:eastAsia="Arial" w:hAnsi="Arial" w:cs="Arial"/>
                    <w:color w:val="333333"/>
                  </w:rPr>
                </w:pPr>
                <w:r>
                  <w:rPr>
                    <w:rFonts w:ascii="Arial" w:eastAsia="Arial" w:hAnsi="Arial" w:cs="Arial"/>
                    <w:b/>
                    <w:color w:val="333333"/>
                  </w:rPr>
                  <w:t>Parágrafo 3.</w:t>
                </w:r>
                <w:r>
                  <w:rPr>
                    <w:rFonts w:ascii="Arial" w:eastAsia="Arial" w:hAnsi="Arial" w:cs="Arial"/>
                    <w:color w:val="333333"/>
                  </w:rPr>
                  <w:t xml:space="preserve"> Los recursos de que trata este artículo podrán seguir siendo invertidos en fondos de inversión colectiva del mercado monetario o abiertos sin pacto de permanencia administrados por sociedades fiduciarias, conforme a la normatividad vigente. </w:t>
                </w:r>
              </w:p>
              <w:p w14:paraId="3531AD6D" w14:textId="77777777" w:rsidR="008D7166" w:rsidRDefault="008D7166">
                <w:pPr>
                  <w:widowControl w:val="0"/>
                  <w:spacing w:after="0" w:line="240" w:lineRule="auto"/>
                  <w:ind w:left="720"/>
                  <w:jc w:val="both"/>
                  <w:rPr>
                    <w:rFonts w:ascii="Arial" w:eastAsia="Arial" w:hAnsi="Arial" w:cs="Arial"/>
                    <w:color w:val="333333"/>
                  </w:rPr>
                </w:pPr>
              </w:p>
              <w:p w14:paraId="4DD7036A" w14:textId="77777777" w:rsidR="008D7166" w:rsidRDefault="00233308">
                <w:pPr>
                  <w:widowControl w:val="0"/>
                  <w:spacing w:after="0" w:line="240" w:lineRule="auto"/>
                  <w:jc w:val="both"/>
                  <w:rPr>
                    <w:rFonts w:ascii="Arial" w:eastAsia="Arial" w:hAnsi="Arial" w:cs="Arial"/>
                    <w:color w:val="333333"/>
                  </w:rPr>
                </w:pPr>
                <w:r>
                  <w:rPr>
                    <w:rFonts w:ascii="Arial" w:eastAsia="Arial" w:hAnsi="Arial" w:cs="Arial"/>
                    <w:b/>
                    <w:color w:val="333333"/>
                  </w:rPr>
                  <w:t>Parágrafo 4.</w:t>
                </w:r>
                <w:r>
                  <w:rPr>
                    <w:rFonts w:ascii="Arial" w:eastAsia="Arial" w:hAnsi="Arial" w:cs="Arial"/>
                    <w:color w:val="333333"/>
                  </w:rPr>
                  <w:t xml:space="preserve"> El Gobierno Nacional, a través del Ministerio de Hacienda y Crédito Público, reglamentará lo dispuesto en el presente artículo.</w:t>
                </w:r>
              </w:p>
            </w:tc>
            <w:tc>
              <w:tcPr>
                <w:tcW w:w="2520" w:type="dxa"/>
                <w:shd w:val="clear" w:color="auto" w:fill="auto"/>
                <w:tcMar>
                  <w:top w:w="100" w:type="dxa"/>
                  <w:left w:w="100" w:type="dxa"/>
                  <w:bottom w:w="100" w:type="dxa"/>
                  <w:right w:w="100" w:type="dxa"/>
                </w:tcMar>
              </w:tcPr>
              <w:p w14:paraId="4CAAEB06" w14:textId="77777777" w:rsidR="008D7166" w:rsidRDefault="00233308">
                <w:pPr>
                  <w:widowControl w:val="0"/>
                  <w:pBdr>
                    <w:top w:val="nil"/>
                    <w:left w:val="nil"/>
                    <w:bottom w:val="nil"/>
                    <w:right w:val="nil"/>
                    <w:between w:val="nil"/>
                  </w:pBdr>
                  <w:spacing w:after="0" w:line="240" w:lineRule="auto"/>
                  <w:rPr>
                    <w:rFonts w:ascii="Arial" w:eastAsia="Arial" w:hAnsi="Arial" w:cs="Arial"/>
                    <w:color w:val="333333"/>
                  </w:rPr>
                </w:pPr>
                <w:r>
                  <w:rPr>
                    <w:rFonts w:ascii="Arial" w:eastAsia="Arial" w:hAnsi="Arial" w:cs="Arial"/>
                    <w:color w:val="333333"/>
                  </w:rPr>
                  <w:lastRenderedPageBreak/>
                  <w:t>Se acoge el texto del Senado de la República</w:t>
                </w:r>
              </w:p>
            </w:tc>
          </w:tr>
          <w:tr w:rsidR="008D7166" w14:paraId="686F90D5" w14:textId="77777777">
            <w:tc>
              <w:tcPr>
                <w:tcW w:w="3165" w:type="dxa"/>
                <w:shd w:val="clear" w:color="auto" w:fill="auto"/>
                <w:tcMar>
                  <w:top w:w="100" w:type="dxa"/>
                  <w:left w:w="100" w:type="dxa"/>
                  <w:bottom w:w="100" w:type="dxa"/>
                  <w:right w:w="100" w:type="dxa"/>
                </w:tcMar>
              </w:tcPr>
              <w:p w14:paraId="314EE834" w14:textId="77777777" w:rsidR="008D7166" w:rsidRDefault="00233308">
                <w:pPr>
                  <w:widowControl w:val="0"/>
                  <w:spacing w:after="0" w:line="240" w:lineRule="auto"/>
                  <w:jc w:val="both"/>
                  <w:rPr>
                    <w:rFonts w:ascii="Arial" w:eastAsia="Arial" w:hAnsi="Arial" w:cs="Arial"/>
                    <w:b/>
                    <w:color w:val="333333"/>
                  </w:rPr>
                </w:pPr>
                <w:bookmarkStart w:id="94" w:name="_heading=h.f6uqkbrqns74" w:colFirst="0" w:colLast="0"/>
                <w:bookmarkEnd w:id="94"/>
                <w:r>
                  <w:rPr>
                    <w:rFonts w:ascii="Arial" w:eastAsia="Arial" w:hAnsi="Arial" w:cs="Arial"/>
                    <w:b/>
                    <w:color w:val="333333"/>
                  </w:rPr>
                  <w:lastRenderedPageBreak/>
                  <w:t>Artículo 3°. Control y Vigilancia.</w:t>
                </w:r>
                <w:r>
                  <w:rPr>
                    <w:rFonts w:ascii="Arial" w:eastAsia="Arial" w:hAnsi="Arial" w:cs="Arial"/>
                    <w:color w:val="333333"/>
                  </w:rPr>
                  <w:t xml:space="preserve"> En los casos en que las entidades territoriale</w:t>
                </w:r>
                <w:r>
                  <w:rPr>
                    <w:rFonts w:ascii="Arial" w:eastAsia="Arial" w:hAnsi="Arial" w:cs="Arial"/>
                    <w:color w:val="333333"/>
                  </w:rPr>
                  <w:t>s y las entidades descentralizadas del orden territorial con participación pública superior al cincuenta por ciento (50%) inviertan sus excedentes de liquidez en entidades financieras diferentes a establecimientos de crédito, la Superintendencia Financiera</w:t>
                </w:r>
                <w:r>
                  <w:rPr>
                    <w:rFonts w:ascii="Arial" w:eastAsia="Arial" w:hAnsi="Arial" w:cs="Arial"/>
                    <w:color w:val="333333"/>
                  </w:rPr>
                  <w:t xml:space="preserve"> ejercerá el control y vigilancia a dichas entidades financieras a través de los mecanismos con los que ya cuenta la entidad.</w:t>
                </w:r>
              </w:p>
            </w:tc>
            <w:tc>
              <w:tcPr>
                <w:tcW w:w="3135" w:type="dxa"/>
                <w:shd w:val="clear" w:color="auto" w:fill="auto"/>
                <w:tcMar>
                  <w:top w:w="100" w:type="dxa"/>
                  <w:left w:w="100" w:type="dxa"/>
                  <w:bottom w:w="100" w:type="dxa"/>
                  <w:right w:w="100" w:type="dxa"/>
                </w:tcMar>
              </w:tcPr>
              <w:p w14:paraId="3B2EE46A" w14:textId="77777777" w:rsidR="008D7166" w:rsidRDefault="00233308">
                <w:pPr>
                  <w:widowControl w:val="0"/>
                  <w:spacing w:after="0" w:line="240" w:lineRule="auto"/>
                  <w:jc w:val="both"/>
                  <w:rPr>
                    <w:rFonts w:ascii="Arial" w:eastAsia="Arial" w:hAnsi="Arial" w:cs="Arial"/>
                    <w:b/>
                    <w:color w:val="333333"/>
                  </w:rPr>
                </w:pPr>
                <w:r>
                  <w:rPr>
                    <w:rFonts w:ascii="Arial" w:eastAsia="Arial" w:hAnsi="Arial" w:cs="Arial"/>
                    <w:b/>
                    <w:color w:val="333333"/>
                  </w:rPr>
                  <w:t>Artículo 3. Control y Vigilancia.</w:t>
                </w:r>
                <w:r>
                  <w:rPr>
                    <w:rFonts w:ascii="Arial" w:eastAsia="Arial" w:hAnsi="Arial" w:cs="Arial"/>
                    <w:color w:val="333333"/>
                  </w:rPr>
                  <w:t xml:space="preserve"> En los casos en que las entidades de orden territorial de que trata la presente Ley inviertan sus excedentes de liquidez en establecimientos de crédito diferentes a los establecimientos bancarios, la Superintendencia Financiera ejercerá el control y vigil</w:t>
                </w:r>
                <w:r>
                  <w:rPr>
                    <w:rFonts w:ascii="Arial" w:eastAsia="Arial" w:hAnsi="Arial" w:cs="Arial"/>
                    <w:color w:val="333333"/>
                  </w:rPr>
                  <w:t>ancia a dichos establecimientos de crédito a través de los mecanismos con los que ya cuenta la entidad.</w:t>
                </w:r>
              </w:p>
            </w:tc>
            <w:tc>
              <w:tcPr>
                <w:tcW w:w="2520" w:type="dxa"/>
                <w:shd w:val="clear" w:color="auto" w:fill="auto"/>
                <w:tcMar>
                  <w:top w:w="100" w:type="dxa"/>
                  <w:left w:w="100" w:type="dxa"/>
                  <w:bottom w:w="100" w:type="dxa"/>
                  <w:right w:w="100" w:type="dxa"/>
                </w:tcMar>
              </w:tcPr>
              <w:p w14:paraId="10FD81F7" w14:textId="77777777" w:rsidR="008D7166" w:rsidRDefault="00233308">
                <w:pPr>
                  <w:widowControl w:val="0"/>
                  <w:pBdr>
                    <w:top w:val="nil"/>
                    <w:left w:val="nil"/>
                    <w:bottom w:val="nil"/>
                    <w:right w:val="nil"/>
                    <w:between w:val="nil"/>
                  </w:pBdr>
                  <w:spacing w:after="0" w:line="240" w:lineRule="auto"/>
                  <w:rPr>
                    <w:rFonts w:ascii="Arial" w:eastAsia="Arial" w:hAnsi="Arial" w:cs="Arial"/>
                    <w:color w:val="333333"/>
                  </w:rPr>
                </w:pPr>
                <w:r>
                  <w:rPr>
                    <w:rFonts w:ascii="Arial" w:eastAsia="Arial" w:hAnsi="Arial" w:cs="Arial"/>
                    <w:color w:val="333333"/>
                  </w:rPr>
                  <w:t>Se acoge el texto aprobado por el Senado de la República</w:t>
                </w:r>
              </w:p>
            </w:tc>
          </w:tr>
          <w:tr w:rsidR="008D7166" w14:paraId="36E7C570" w14:textId="77777777">
            <w:tc>
              <w:tcPr>
                <w:tcW w:w="3165" w:type="dxa"/>
                <w:shd w:val="clear" w:color="auto" w:fill="auto"/>
                <w:tcMar>
                  <w:top w:w="100" w:type="dxa"/>
                  <w:left w:w="100" w:type="dxa"/>
                  <w:bottom w:w="100" w:type="dxa"/>
                  <w:right w:w="100" w:type="dxa"/>
                </w:tcMar>
              </w:tcPr>
              <w:p w14:paraId="1B142CBF" w14:textId="77777777" w:rsidR="008D7166" w:rsidRDefault="00233308">
                <w:pPr>
                  <w:widowControl w:val="0"/>
                  <w:spacing w:after="0" w:line="240" w:lineRule="auto"/>
                  <w:jc w:val="both"/>
                  <w:rPr>
                    <w:rFonts w:ascii="Arial" w:eastAsia="Arial" w:hAnsi="Arial" w:cs="Arial"/>
                    <w:b/>
                    <w:color w:val="333333"/>
                  </w:rPr>
                </w:pPr>
                <w:bookmarkStart w:id="95" w:name="_heading=h.utzwouwv4rwo" w:colFirst="0" w:colLast="0"/>
                <w:bookmarkEnd w:id="95"/>
                <w:r>
                  <w:rPr>
                    <w:rFonts w:ascii="Arial" w:eastAsia="Arial" w:hAnsi="Arial" w:cs="Arial"/>
                    <w:b/>
                    <w:color w:val="333333"/>
                  </w:rPr>
                  <w:t>Artículo Nuevo.</w:t>
                </w:r>
                <w:r>
                  <w:rPr>
                    <w:rFonts w:ascii="Arial" w:eastAsia="Arial" w:hAnsi="Arial" w:cs="Arial"/>
                    <w:color w:val="333333"/>
                  </w:rPr>
                  <w:t xml:space="preserve"> </w:t>
                </w:r>
                <w:r>
                  <w:rPr>
                    <w:rFonts w:ascii="Arial" w:eastAsia="Arial" w:hAnsi="Arial" w:cs="Arial"/>
                    <w:b/>
                    <w:color w:val="333333"/>
                  </w:rPr>
                  <w:t xml:space="preserve">Publicidad y transparencia. </w:t>
                </w:r>
                <w:r>
                  <w:rPr>
                    <w:rFonts w:ascii="Arial" w:eastAsia="Arial" w:hAnsi="Arial" w:cs="Arial"/>
                    <w:color w:val="333333"/>
                  </w:rPr>
                  <w:t>Las operaciones de las que trata la presente Ley e</w:t>
                </w:r>
                <w:r>
                  <w:rPr>
                    <w:rFonts w:ascii="Arial" w:eastAsia="Arial" w:hAnsi="Arial" w:cs="Arial"/>
                    <w:color w:val="333333"/>
                  </w:rPr>
                  <w:t xml:space="preserve">starán sujetas a los principios de publicidad y transparencia. En mérito de lo anterior, las entidades territoriales y las entidades descentralizadas del orden territorial con participación pública superior al cincuenta por ciento (50%) deberán publicar y </w:t>
                </w:r>
                <w:r>
                  <w:rPr>
                    <w:rFonts w:ascii="Arial" w:eastAsia="Arial" w:hAnsi="Arial" w:cs="Arial"/>
                    <w:color w:val="333333"/>
                  </w:rPr>
                  <w:t>socializar anualmente a la ciudadanía un informe que dé cuenta de sus inversiones de excedente de liquidez en entidades fi nancieras y del estado de las mismas, sin perjuicio de los demás mecanismos de rendición de cuentas con los que ya cuentan las entida</w:t>
                </w:r>
                <w:r>
                  <w:rPr>
                    <w:rFonts w:ascii="Arial" w:eastAsia="Arial" w:hAnsi="Arial" w:cs="Arial"/>
                    <w:color w:val="333333"/>
                  </w:rPr>
                  <w:t>des.</w:t>
                </w:r>
              </w:p>
            </w:tc>
            <w:tc>
              <w:tcPr>
                <w:tcW w:w="3135" w:type="dxa"/>
                <w:shd w:val="clear" w:color="auto" w:fill="auto"/>
                <w:tcMar>
                  <w:top w:w="100" w:type="dxa"/>
                  <w:left w:w="100" w:type="dxa"/>
                  <w:bottom w:w="100" w:type="dxa"/>
                  <w:right w:w="100" w:type="dxa"/>
                </w:tcMar>
              </w:tcPr>
              <w:p w14:paraId="70056E68" w14:textId="77777777" w:rsidR="008D7166" w:rsidRDefault="00233308">
                <w:pPr>
                  <w:widowControl w:val="0"/>
                  <w:spacing w:after="0" w:line="240" w:lineRule="auto"/>
                  <w:jc w:val="both"/>
                  <w:rPr>
                    <w:rFonts w:ascii="Arial" w:eastAsia="Arial" w:hAnsi="Arial" w:cs="Arial"/>
                    <w:b/>
                    <w:color w:val="333333"/>
                  </w:rPr>
                </w:pPr>
                <w:r>
                  <w:rPr>
                    <w:rFonts w:ascii="Arial" w:eastAsia="Arial" w:hAnsi="Arial" w:cs="Arial"/>
                    <w:b/>
                    <w:color w:val="333333"/>
                  </w:rPr>
                  <w:t>Artículo 4. Publicidad y transparencia.</w:t>
                </w:r>
                <w:r>
                  <w:rPr>
                    <w:rFonts w:ascii="Arial" w:eastAsia="Arial" w:hAnsi="Arial" w:cs="Arial"/>
                    <w:color w:val="333333"/>
                  </w:rPr>
                  <w:t xml:space="preserve"> Las operaciones de las que trata la presente Ley estarán sujetas a los principios de publicidad y transparencia, por lo que las entidades de orden territorial de que trata la presente Ley deberán publicar y soci</w:t>
                </w:r>
                <w:r>
                  <w:rPr>
                    <w:rFonts w:ascii="Arial" w:eastAsia="Arial" w:hAnsi="Arial" w:cs="Arial"/>
                    <w:color w:val="333333"/>
                  </w:rPr>
                  <w:t>alizar anualmente a la ciudadanía un informe que dé cuenta de sus inversiones de excedentes de liquidez en establecimientos de crédito y del estado de las mismas, sin perjuicio de los demás mecanismos de rendición de cuentas con los que ya cuentan las enti</w:t>
                </w:r>
                <w:r>
                  <w:rPr>
                    <w:rFonts w:ascii="Arial" w:eastAsia="Arial" w:hAnsi="Arial" w:cs="Arial"/>
                    <w:color w:val="333333"/>
                  </w:rPr>
                  <w:t xml:space="preserve">dades. </w:t>
                </w:r>
              </w:p>
            </w:tc>
            <w:tc>
              <w:tcPr>
                <w:tcW w:w="2520" w:type="dxa"/>
                <w:shd w:val="clear" w:color="auto" w:fill="auto"/>
                <w:tcMar>
                  <w:top w:w="100" w:type="dxa"/>
                  <w:left w:w="100" w:type="dxa"/>
                  <w:bottom w:w="100" w:type="dxa"/>
                  <w:right w:w="100" w:type="dxa"/>
                </w:tcMar>
              </w:tcPr>
              <w:p w14:paraId="1B696F83" w14:textId="77777777" w:rsidR="008D7166" w:rsidRDefault="00233308">
                <w:pPr>
                  <w:widowControl w:val="0"/>
                  <w:pBdr>
                    <w:top w:val="nil"/>
                    <w:left w:val="nil"/>
                    <w:bottom w:val="nil"/>
                    <w:right w:val="nil"/>
                    <w:between w:val="nil"/>
                  </w:pBdr>
                  <w:spacing w:after="0" w:line="240" w:lineRule="auto"/>
                  <w:rPr>
                    <w:rFonts w:ascii="Arial" w:eastAsia="Arial" w:hAnsi="Arial" w:cs="Arial"/>
                    <w:color w:val="333333"/>
                  </w:rPr>
                </w:pPr>
                <w:r>
                  <w:rPr>
                    <w:rFonts w:ascii="Arial" w:eastAsia="Arial" w:hAnsi="Arial" w:cs="Arial"/>
                    <w:color w:val="333333"/>
                  </w:rPr>
                  <w:t>Se acoge el texto del Senado de la República</w:t>
                </w:r>
              </w:p>
            </w:tc>
          </w:tr>
          <w:tr w:rsidR="008D7166" w14:paraId="71000417" w14:textId="77777777">
            <w:tc>
              <w:tcPr>
                <w:tcW w:w="3165" w:type="dxa"/>
                <w:shd w:val="clear" w:color="auto" w:fill="auto"/>
                <w:tcMar>
                  <w:top w:w="100" w:type="dxa"/>
                  <w:left w:w="100" w:type="dxa"/>
                  <w:bottom w:w="100" w:type="dxa"/>
                  <w:right w:w="100" w:type="dxa"/>
                </w:tcMar>
              </w:tcPr>
              <w:p w14:paraId="748E3326" w14:textId="77777777" w:rsidR="008D7166" w:rsidRDefault="00233308">
                <w:pPr>
                  <w:widowControl w:val="0"/>
                  <w:spacing w:after="0" w:line="240" w:lineRule="auto"/>
                  <w:jc w:val="both"/>
                  <w:rPr>
                    <w:rFonts w:ascii="Arial" w:eastAsia="Arial" w:hAnsi="Arial" w:cs="Arial"/>
                    <w:b/>
                    <w:color w:val="333333"/>
                  </w:rPr>
                </w:pPr>
                <w:bookmarkStart w:id="96" w:name="_heading=h.tku1mywkjroj" w:colFirst="0" w:colLast="0"/>
                <w:bookmarkEnd w:id="96"/>
                <w:r>
                  <w:rPr>
                    <w:rFonts w:ascii="Arial" w:eastAsia="Arial" w:hAnsi="Arial" w:cs="Arial"/>
                    <w:b/>
                    <w:color w:val="333333"/>
                  </w:rPr>
                  <w:t>Artículo 4°. Vigencia.</w:t>
                </w:r>
                <w:r>
                  <w:rPr>
                    <w:rFonts w:ascii="Arial" w:eastAsia="Arial" w:hAnsi="Arial" w:cs="Arial"/>
                    <w:color w:val="333333"/>
                  </w:rPr>
                  <w:t xml:space="preserve"> La presente ley rige a partir de su promulgación y las demás disposiciones que le sean contrarias.</w:t>
                </w:r>
              </w:p>
            </w:tc>
            <w:tc>
              <w:tcPr>
                <w:tcW w:w="3135" w:type="dxa"/>
                <w:shd w:val="clear" w:color="auto" w:fill="auto"/>
                <w:tcMar>
                  <w:top w:w="100" w:type="dxa"/>
                  <w:left w:w="100" w:type="dxa"/>
                  <w:bottom w:w="100" w:type="dxa"/>
                  <w:right w:w="100" w:type="dxa"/>
                </w:tcMar>
              </w:tcPr>
              <w:p w14:paraId="0E4D345D" w14:textId="77777777" w:rsidR="008D7166" w:rsidRDefault="00233308">
                <w:pPr>
                  <w:widowControl w:val="0"/>
                  <w:spacing w:after="0" w:line="240" w:lineRule="auto"/>
                  <w:jc w:val="both"/>
                  <w:rPr>
                    <w:rFonts w:ascii="Arial" w:eastAsia="Arial" w:hAnsi="Arial" w:cs="Arial"/>
                    <w:b/>
                    <w:color w:val="333333"/>
                  </w:rPr>
                </w:pPr>
                <w:r>
                  <w:rPr>
                    <w:rFonts w:ascii="Arial" w:eastAsia="Arial" w:hAnsi="Arial" w:cs="Arial"/>
                    <w:b/>
                    <w:color w:val="333333"/>
                  </w:rPr>
                  <w:t>Artículo 5. Vigencia y derogatorias.</w:t>
                </w:r>
                <w:r>
                  <w:rPr>
                    <w:rFonts w:ascii="Arial" w:eastAsia="Arial" w:hAnsi="Arial" w:cs="Arial"/>
                    <w:color w:val="333333"/>
                  </w:rPr>
                  <w:t xml:space="preserve"> La presente ley rige a partir de su promulg</w:t>
                </w:r>
                <w:r>
                  <w:rPr>
                    <w:rFonts w:ascii="Arial" w:eastAsia="Arial" w:hAnsi="Arial" w:cs="Arial"/>
                    <w:color w:val="333333"/>
                  </w:rPr>
                  <w:t>ación y deroga todas las disposiciones que le sean contrarias.</w:t>
                </w:r>
              </w:p>
            </w:tc>
            <w:tc>
              <w:tcPr>
                <w:tcW w:w="2520" w:type="dxa"/>
                <w:shd w:val="clear" w:color="auto" w:fill="auto"/>
                <w:tcMar>
                  <w:top w:w="100" w:type="dxa"/>
                  <w:left w:w="100" w:type="dxa"/>
                  <w:bottom w:w="100" w:type="dxa"/>
                  <w:right w:w="100" w:type="dxa"/>
                </w:tcMar>
              </w:tcPr>
              <w:p w14:paraId="42DE9B7E" w14:textId="77777777" w:rsidR="008D7166" w:rsidRDefault="00233308">
                <w:pPr>
                  <w:widowControl w:val="0"/>
                  <w:pBdr>
                    <w:top w:val="nil"/>
                    <w:left w:val="nil"/>
                    <w:bottom w:val="nil"/>
                    <w:right w:val="nil"/>
                    <w:between w:val="nil"/>
                  </w:pBdr>
                  <w:spacing w:after="0" w:line="240" w:lineRule="auto"/>
                  <w:rPr>
                    <w:rFonts w:ascii="Arial" w:eastAsia="Arial" w:hAnsi="Arial" w:cs="Arial"/>
                    <w:color w:val="333333"/>
                  </w:rPr>
                </w:pPr>
                <w:r>
                  <w:rPr>
                    <w:rFonts w:ascii="Arial" w:eastAsia="Arial" w:hAnsi="Arial" w:cs="Arial"/>
                    <w:color w:val="333333"/>
                  </w:rPr>
                  <w:t>Se acoge el texto del Senado de la República</w:t>
                </w:r>
              </w:p>
            </w:tc>
          </w:tr>
        </w:tbl>
      </w:sdtContent>
    </w:sdt>
    <w:p w14:paraId="28A9E5F6" w14:textId="77777777" w:rsidR="008D7166" w:rsidRDefault="008D7166">
      <w:pPr>
        <w:widowControl w:val="0"/>
        <w:spacing w:after="0" w:line="240" w:lineRule="auto"/>
        <w:jc w:val="both"/>
        <w:rPr>
          <w:rFonts w:ascii="Arial" w:eastAsia="Arial" w:hAnsi="Arial" w:cs="Arial"/>
          <w:color w:val="333333"/>
        </w:rPr>
      </w:pPr>
      <w:bookmarkStart w:id="97" w:name="_heading=h.o8qpzvbohbo8" w:colFirst="0" w:colLast="0"/>
      <w:bookmarkEnd w:id="97"/>
    </w:p>
    <w:p w14:paraId="18E7CEBC" w14:textId="77777777" w:rsidR="008D7166" w:rsidRDefault="008D7166">
      <w:pPr>
        <w:widowControl w:val="0"/>
        <w:spacing w:after="0" w:line="240" w:lineRule="auto"/>
        <w:jc w:val="both"/>
        <w:rPr>
          <w:rFonts w:ascii="Arial" w:eastAsia="Arial" w:hAnsi="Arial" w:cs="Arial"/>
          <w:color w:val="333333"/>
        </w:rPr>
      </w:pPr>
      <w:bookmarkStart w:id="98" w:name="_heading=h.qdizuo33jyi" w:colFirst="0" w:colLast="0"/>
      <w:bookmarkEnd w:id="98"/>
    </w:p>
    <w:p w14:paraId="0FF2B6E6" w14:textId="77777777" w:rsidR="008D7166" w:rsidRDefault="00233308">
      <w:pPr>
        <w:widowControl w:val="0"/>
        <w:spacing w:after="0" w:line="240" w:lineRule="auto"/>
        <w:jc w:val="both"/>
        <w:rPr>
          <w:rFonts w:ascii="Arial" w:eastAsia="Arial" w:hAnsi="Arial" w:cs="Arial"/>
          <w:b/>
          <w:color w:val="333333"/>
        </w:rPr>
      </w:pPr>
      <w:bookmarkStart w:id="99" w:name="_heading=h.39rghc98v0bl" w:colFirst="0" w:colLast="0"/>
      <w:bookmarkEnd w:id="99"/>
      <w:r>
        <w:rPr>
          <w:rFonts w:ascii="Arial" w:eastAsia="Arial" w:hAnsi="Arial" w:cs="Arial"/>
          <w:b/>
          <w:color w:val="333333"/>
        </w:rPr>
        <w:t>PROPOSICIÓN</w:t>
      </w:r>
    </w:p>
    <w:p w14:paraId="6D5F5CA9" w14:textId="77777777" w:rsidR="008D7166" w:rsidRDefault="008D7166">
      <w:pPr>
        <w:widowControl w:val="0"/>
        <w:spacing w:after="0" w:line="240" w:lineRule="auto"/>
        <w:jc w:val="both"/>
        <w:rPr>
          <w:rFonts w:ascii="Arial" w:eastAsia="Arial" w:hAnsi="Arial" w:cs="Arial"/>
          <w:color w:val="333333"/>
        </w:rPr>
      </w:pPr>
      <w:bookmarkStart w:id="100" w:name="_heading=h.eejzegdakkn0" w:colFirst="0" w:colLast="0"/>
      <w:bookmarkEnd w:id="100"/>
    </w:p>
    <w:p w14:paraId="7E72A7B1" w14:textId="16F0B481" w:rsidR="008D7166" w:rsidRDefault="00233308">
      <w:pPr>
        <w:widowControl w:val="0"/>
        <w:spacing w:after="0" w:line="240" w:lineRule="auto"/>
        <w:jc w:val="both"/>
        <w:rPr>
          <w:rFonts w:ascii="Arial" w:eastAsia="Arial" w:hAnsi="Arial" w:cs="Arial"/>
          <w:i/>
          <w:color w:val="333333"/>
        </w:rPr>
      </w:pPr>
      <w:bookmarkStart w:id="101" w:name="_heading=h.wpsmjibaof9s" w:colFirst="0" w:colLast="0"/>
      <w:bookmarkEnd w:id="101"/>
      <w:r>
        <w:rPr>
          <w:rFonts w:ascii="Arial" w:eastAsia="Arial" w:hAnsi="Arial" w:cs="Arial"/>
          <w:color w:val="333333"/>
        </w:rPr>
        <w:t xml:space="preserve">Dadas las anteriores consideraciones, nos permitimos presentar ante las Plenarias del Senado de la República y de la Cámara de Representantes, el texto conciliado del Proyecto de Ley 401 de 2023 Cámara - 174 de 2023 Senado </w:t>
      </w:r>
      <w:r>
        <w:rPr>
          <w:rFonts w:ascii="Arial" w:eastAsia="Arial" w:hAnsi="Arial" w:cs="Arial"/>
          <w:i/>
          <w:color w:val="333333"/>
        </w:rPr>
        <w:t>“Por medio del cual se promueve l</w:t>
      </w:r>
      <w:r>
        <w:rPr>
          <w:rFonts w:ascii="Arial" w:eastAsia="Arial" w:hAnsi="Arial" w:cs="Arial"/>
          <w:i/>
          <w:color w:val="333333"/>
        </w:rPr>
        <w:t>a competencia justa en el sector financiero y se dictan otras disposiciones”</w:t>
      </w:r>
      <w:r w:rsidR="009B43D6" w:rsidRPr="009B43D6">
        <w:rPr>
          <w:rFonts w:ascii="Arial" w:hAnsi="Arial" w:cs="Arial"/>
          <w:noProof/>
        </w:rPr>
        <w:t xml:space="preserve"> </w:t>
      </w:r>
    </w:p>
    <w:p w14:paraId="5BC9FDF4" w14:textId="0F268319" w:rsidR="008D7166" w:rsidRDefault="00041DB8">
      <w:pPr>
        <w:widowControl w:val="0"/>
        <w:spacing w:after="0" w:line="240" w:lineRule="auto"/>
        <w:jc w:val="both"/>
        <w:rPr>
          <w:rFonts w:ascii="Arial" w:eastAsia="Arial" w:hAnsi="Arial" w:cs="Arial"/>
        </w:rPr>
      </w:pPr>
      <w:bookmarkStart w:id="102" w:name="_heading=h.kphqun3me1x1" w:colFirst="0" w:colLast="0"/>
      <w:bookmarkEnd w:id="102"/>
      <w:r>
        <w:rPr>
          <w:rFonts w:ascii="Arial" w:eastAsia="Arial" w:hAnsi="Arial" w:cs="Arial"/>
        </w:rPr>
        <w:t>+</w:t>
      </w:r>
    </w:p>
    <w:tbl>
      <w:tblPr>
        <w:tblStyle w:val="a7"/>
        <w:tblW w:w="883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20"/>
      </w:tblGrid>
      <w:tr w:rsidR="008D7166" w14:paraId="15F5207D" w14:textId="77777777">
        <w:tc>
          <w:tcPr>
            <w:tcW w:w="4419" w:type="dxa"/>
            <w:shd w:val="clear" w:color="auto" w:fill="auto"/>
            <w:tcMar>
              <w:top w:w="100" w:type="dxa"/>
              <w:left w:w="100" w:type="dxa"/>
              <w:bottom w:w="100" w:type="dxa"/>
              <w:right w:w="100" w:type="dxa"/>
            </w:tcMar>
          </w:tcPr>
          <w:p w14:paraId="6F2070C6" w14:textId="560FD48D" w:rsidR="008D7166" w:rsidRDefault="008D7166">
            <w:pPr>
              <w:widowControl w:val="0"/>
              <w:spacing w:after="0" w:line="240" w:lineRule="auto"/>
              <w:rPr>
                <w:rFonts w:ascii="Arial" w:eastAsia="Arial" w:hAnsi="Arial" w:cs="Arial"/>
                <w:b/>
              </w:rPr>
            </w:pPr>
          </w:p>
          <w:p w14:paraId="4A9354CA" w14:textId="7B7BAC16" w:rsidR="008D7166" w:rsidRDefault="008D7166">
            <w:pPr>
              <w:widowControl w:val="0"/>
              <w:spacing w:after="0" w:line="240" w:lineRule="auto"/>
              <w:jc w:val="center"/>
              <w:rPr>
                <w:rFonts w:ascii="Arial" w:eastAsia="Arial" w:hAnsi="Arial" w:cs="Arial"/>
                <w:b/>
              </w:rPr>
            </w:pPr>
          </w:p>
          <w:p w14:paraId="1128A2C7" w14:textId="77777777" w:rsidR="008D7166" w:rsidRDefault="00233308">
            <w:pPr>
              <w:widowControl w:val="0"/>
              <w:spacing w:after="0" w:line="240" w:lineRule="auto"/>
              <w:jc w:val="center"/>
              <w:rPr>
                <w:rFonts w:ascii="Arial" w:eastAsia="Arial" w:hAnsi="Arial" w:cs="Arial"/>
                <w:b/>
              </w:rPr>
            </w:pPr>
            <w:r>
              <w:rPr>
                <w:rFonts w:ascii="Arial" w:eastAsia="Arial" w:hAnsi="Arial" w:cs="Arial"/>
                <w:b/>
              </w:rPr>
              <w:t>ÓSCAR DARÍO PÉREZ PINEDA</w:t>
            </w:r>
          </w:p>
          <w:p w14:paraId="5EF95427" w14:textId="77777777" w:rsidR="008D7166" w:rsidRDefault="00233308">
            <w:pPr>
              <w:widowControl w:val="0"/>
              <w:spacing w:after="0" w:line="240" w:lineRule="auto"/>
              <w:jc w:val="center"/>
              <w:rPr>
                <w:rFonts w:ascii="Arial" w:eastAsia="Arial" w:hAnsi="Arial" w:cs="Arial"/>
                <w:b/>
              </w:rPr>
            </w:pPr>
            <w:r>
              <w:rPr>
                <w:rFonts w:ascii="Arial" w:eastAsia="Arial" w:hAnsi="Arial" w:cs="Arial"/>
                <w:b/>
              </w:rPr>
              <w:t>Representante a la Cámara</w:t>
            </w:r>
          </w:p>
        </w:tc>
        <w:tc>
          <w:tcPr>
            <w:tcW w:w="4419" w:type="dxa"/>
            <w:shd w:val="clear" w:color="auto" w:fill="auto"/>
            <w:tcMar>
              <w:top w:w="100" w:type="dxa"/>
              <w:left w:w="100" w:type="dxa"/>
              <w:bottom w:w="100" w:type="dxa"/>
              <w:right w:w="100" w:type="dxa"/>
            </w:tcMar>
          </w:tcPr>
          <w:p w14:paraId="01300EB2" w14:textId="77777777" w:rsidR="00041DB8" w:rsidRDefault="00041DB8" w:rsidP="00041DB8">
            <w:pPr>
              <w:widowControl w:val="0"/>
              <w:spacing w:after="0" w:line="240" w:lineRule="auto"/>
              <w:rPr>
                <w:rFonts w:ascii="Arial" w:eastAsia="Arial" w:hAnsi="Arial" w:cs="Arial"/>
                <w:b/>
              </w:rPr>
            </w:pPr>
          </w:p>
          <w:p w14:paraId="2B0D3C20" w14:textId="77777777" w:rsidR="00041DB8" w:rsidRDefault="00041DB8">
            <w:pPr>
              <w:widowControl w:val="0"/>
              <w:spacing w:after="0" w:line="240" w:lineRule="auto"/>
              <w:jc w:val="center"/>
              <w:rPr>
                <w:rFonts w:ascii="Arial" w:eastAsia="Arial" w:hAnsi="Arial" w:cs="Arial"/>
                <w:b/>
              </w:rPr>
            </w:pPr>
          </w:p>
          <w:p w14:paraId="3389C7E3" w14:textId="77777777" w:rsidR="008D7166" w:rsidRDefault="00233308">
            <w:pPr>
              <w:widowControl w:val="0"/>
              <w:spacing w:after="0" w:line="240" w:lineRule="auto"/>
              <w:jc w:val="center"/>
              <w:rPr>
                <w:rFonts w:ascii="Arial" w:eastAsia="Arial" w:hAnsi="Arial" w:cs="Arial"/>
                <w:b/>
              </w:rPr>
            </w:pPr>
            <w:r>
              <w:rPr>
                <w:rFonts w:ascii="Arial" w:eastAsia="Arial" w:hAnsi="Arial" w:cs="Arial"/>
                <w:b/>
              </w:rPr>
              <w:t>SONIA SHIRLEY BERNAL SÁNCHEZ</w:t>
            </w:r>
          </w:p>
          <w:p w14:paraId="47C61A8B" w14:textId="43A2C296" w:rsidR="008D7166" w:rsidRDefault="00233308">
            <w:pPr>
              <w:widowControl w:val="0"/>
              <w:spacing w:after="0" w:line="240" w:lineRule="auto"/>
              <w:jc w:val="center"/>
              <w:rPr>
                <w:rFonts w:ascii="Arial" w:eastAsia="Arial" w:hAnsi="Arial" w:cs="Arial"/>
                <w:b/>
              </w:rPr>
            </w:pPr>
            <w:r>
              <w:rPr>
                <w:rFonts w:ascii="Arial" w:eastAsia="Arial" w:hAnsi="Arial" w:cs="Arial"/>
                <w:b/>
              </w:rPr>
              <w:t>Senadora de la República</w:t>
            </w:r>
          </w:p>
        </w:tc>
      </w:tr>
    </w:tbl>
    <w:p w14:paraId="26A544F7" w14:textId="77777777" w:rsidR="008D7166" w:rsidRDefault="008D7166">
      <w:pPr>
        <w:widowControl w:val="0"/>
        <w:spacing w:after="0" w:line="240" w:lineRule="auto"/>
        <w:jc w:val="both"/>
        <w:rPr>
          <w:rFonts w:ascii="Arial" w:eastAsia="Arial" w:hAnsi="Arial" w:cs="Arial"/>
          <w:color w:val="333333"/>
        </w:rPr>
      </w:pPr>
      <w:bookmarkStart w:id="103" w:name="_heading=h.8f6j5ogovz77" w:colFirst="0" w:colLast="0"/>
      <w:bookmarkStart w:id="104" w:name="_heading=h.l4zf3a9zs4qp" w:colFirst="0" w:colLast="0"/>
      <w:bookmarkStart w:id="105" w:name="_heading=h.vtp4eg7ionj7" w:colFirst="0" w:colLast="0"/>
      <w:bookmarkStart w:id="106" w:name="_heading=h.oqbpmnrktyd0" w:colFirst="0" w:colLast="0"/>
      <w:bookmarkStart w:id="107" w:name="_heading=h.q5gv17kp68fv" w:colFirst="0" w:colLast="0"/>
      <w:bookmarkStart w:id="108" w:name="_heading=h.cy3cszzi2kka" w:colFirst="0" w:colLast="0"/>
      <w:bookmarkStart w:id="109" w:name="_heading=h.wuyk6evhf0ql" w:colFirst="0" w:colLast="0"/>
      <w:bookmarkStart w:id="110" w:name="_heading=h.gsk5iie4kl0u" w:colFirst="0" w:colLast="0"/>
      <w:bookmarkStart w:id="111" w:name="_heading=h.q173zwlfqgrv" w:colFirst="0" w:colLast="0"/>
      <w:bookmarkStart w:id="112" w:name="_heading=h.mlyr7nufl33k" w:colFirst="0" w:colLast="0"/>
      <w:bookmarkStart w:id="113" w:name="_heading=h.9m93j3qet6z6" w:colFirst="0" w:colLast="0"/>
      <w:bookmarkStart w:id="114" w:name="_heading=h.fsyt9ts2ua1s" w:colFirst="0" w:colLast="0"/>
      <w:bookmarkStart w:id="115" w:name="_heading=h.vbmdu4snunf8" w:colFirst="0" w:colLast="0"/>
      <w:bookmarkStart w:id="116" w:name="_heading=h.21t0at7eg1cq" w:colFirst="0" w:colLast="0"/>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402F14E4" w14:textId="77777777" w:rsidR="00B00C6C" w:rsidRDefault="00B00C6C">
      <w:pPr>
        <w:widowControl w:val="0"/>
        <w:spacing w:after="0" w:line="240" w:lineRule="auto"/>
        <w:jc w:val="center"/>
        <w:rPr>
          <w:rFonts w:ascii="Arial" w:eastAsia="Arial" w:hAnsi="Arial" w:cs="Arial"/>
          <w:b/>
          <w:color w:val="333333"/>
        </w:rPr>
      </w:pPr>
      <w:bookmarkStart w:id="117" w:name="_heading=h.x4l75c5xfrnt" w:colFirst="0" w:colLast="0"/>
      <w:bookmarkEnd w:id="117"/>
    </w:p>
    <w:p w14:paraId="2D5385CF" w14:textId="77818DF0" w:rsidR="008D7166" w:rsidRDefault="00233308">
      <w:pPr>
        <w:widowControl w:val="0"/>
        <w:spacing w:after="0" w:line="240" w:lineRule="auto"/>
        <w:jc w:val="center"/>
        <w:rPr>
          <w:rFonts w:ascii="Arial" w:eastAsia="Arial" w:hAnsi="Arial" w:cs="Arial"/>
          <w:b/>
          <w:color w:val="333333"/>
        </w:rPr>
      </w:pPr>
      <w:r>
        <w:rPr>
          <w:rFonts w:ascii="Arial" w:eastAsia="Arial" w:hAnsi="Arial" w:cs="Arial"/>
          <w:b/>
          <w:color w:val="333333"/>
        </w:rPr>
        <w:t>TEXTO CONCILIADO DEL PROYECTO DE LEY 401 DE 2023 CÁMARA - 174 DE</w:t>
      </w:r>
      <w:r>
        <w:rPr>
          <w:rFonts w:ascii="Arial" w:eastAsia="Arial" w:hAnsi="Arial" w:cs="Arial"/>
          <w:b/>
          <w:color w:val="333333"/>
        </w:rPr>
        <w:t xml:space="preserve"> 2023 SENADO</w:t>
      </w:r>
    </w:p>
    <w:p w14:paraId="78411403" w14:textId="77777777" w:rsidR="008D7166" w:rsidRDefault="008D7166">
      <w:pPr>
        <w:widowControl w:val="0"/>
        <w:spacing w:after="0" w:line="240" w:lineRule="auto"/>
        <w:jc w:val="both"/>
        <w:rPr>
          <w:rFonts w:ascii="Arial" w:eastAsia="Arial" w:hAnsi="Arial" w:cs="Arial"/>
        </w:rPr>
      </w:pPr>
    </w:p>
    <w:p w14:paraId="73A9B1AB" w14:textId="77777777" w:rsidR="008D7166" w:rsidRDefault="00233308">
      <w:pPr>
        <w:widowControl w:val="0"/>
        <w:spacing w:after="0" w:line="240" w:lineRule="auto"/>
        <w:jc w:val="center"/>
        <w:rPr>
          <w:rFonts w:ascii="Arial" w:eastAsia="Arial" w:hAnsi="Arial" w:cs="Arial"/>
          <w:b/>
          <w:color w:val="333333"/>
        </w:rPr>
      </w:pPr>
      <w:bookmarkStart w:id="118" w:name="_heading=h.dydqdlls1jgc" w:colFirst="0" w:colLast="0"/>
      <w:bookmarkEnd w:id="118"/>
      <w:r>
        <w:rPr>
          <w:rFonts w:ascii="Arial" w:eastAsia="Arial" w:hAnsi="Arial" w:cs="Arial"/>
          <w:b/>
          <w:color w:val="333333"/>
        </w:rPr>
        <w:t xml:space="preserve">“Por medio del cual se promueve la competencia justa en el sector financiero y se dictan otras disposiciones.” </w:t>
      </w:r>
    </w:p>
    <w:p w14:paraId="5011F39E" w14:textId="77777777" w:rsidR="008D7166" w:rsidRDefault="008D7166">
      <w:pPr>
        <w:widowControl w:val="0"/>
        <w:spacing w:after="0" w:line="240" w:lineRule="auto"/>
        <w:ind w:left="1440"/>
        <w:jc w:val="center"/>
        <w:rPr>
          <w:rFonts w:ascii="Arial" w:eastAsia="Arial" w:hAnsi="Arial" w:cs="Arial"/>
          <w:b/>
          <w:color w:val="333333"/>
        </w:rPr>
      </w:pPr>
      <w:bookmarkStart w:id="119" w:name="_heading=h.fmoypf8z80re" w:colFirst="0" w:colLast="0"/>
      <w:bookmarkEnd w:id="119"/>
    </w:p>
    <w:p w14:paraId="5BBBD009" w14:textId="77777777" w:rsidR="008D7166" w:rsidRDefault="00233308">
      <w:pPr>
        <w:widowControl w:val="0"/>
        <w:spacing w:after="0" w:line="240" w:lineRule="auto"/>
        <w:jc w:val="center"/>
        <w:rPr>
          <w:rFonts w:ascii="Arial" w:eastAsia="Arial" w:hAnsi="Arial" w:cs="Arial"/>
          <w:b/>
          <w:color w:val="333333"/>
        </w:rPr>
      </w:pPr>
      <w:bookmarkStart w:id="120" w:name="_heading=h.ciscv7udi4nh" w:colFirst="0" w:colLast="0"/>
      <w:bookmarkEnd w:id="120"/>
      <w:r>
        <w:rPr>
          <w:rFonts w:ascii="Arial" w:eastAsia="Arial" w:hAnsi="Arial" w:cs="Arial"/>
          <w:b/>
          <w:color w:val="333333"/>
        </w:rPr>
        <w:t xml:space="preserve">El Congreso de Colombia </w:t>
      </w:r>
    </w:p>
    <w:p w14:paraId="4F28C8BA" w14:textId="77777777" w:rsidR="008D7166" w:rsidRDefault="008D7166">
      <w:pPr>
        <w:widowControl w:val="0"/>
        <w:spacing w:after="0" w:line="240" w:lineRule="auto"/>
        <w:ind w:left="1440"/>
        <w:jc w:val="center"/>
        <w:rPr>
          <w:rFonts w:ascii="Arial" w:eastAsia="Arial" w:hAnsi="Arial" w:cs="Arial"/>
          <w:b/>
          <w:color w:val="333333"/>
        </w:rPr>
      </w:pPr>
      <w:bookmarkStart w:id="121" w:name="_heading=h.ikxhema6q913" w:colFirst="0" w:colLast="0"/>
      <w:bookmarkEnd w:id="121"/>
    </w:p>
    <w:p w14:paraId="6AA97124" w14:textId="77777777" w:rsidR="008D7166" w:rsidRDefault="00233308">
      <w:pPr>
        <w:widowControl w:val="0"/>
        <w:spacing w:after="0" w:line="240" w:lineRule="auto"/>
        <w:jc w:val="center"/>
        <w:rPr>
          <w:rFonts w:ascii="Arial" w:eastAsia="Arial" w:hAnsi="Arial" w:cs="Arial"/>
          <w:b/>
          <w:color w:val="333333"/>
        </w:rPr>
      </w:pPr>
      <w:bookmarkStart w:id="122" w:name="_heading=h.dvfc302mp0oh" w:colFirst="0" w:colLast="0"/>
      <w:bookmarkEnd w:id="122"/>
      <w:r>
        <w:rPr>
          <w:rFonts w:ascii="Arial" w:eastAsia="Arial" w:hAnsi="Arial" w:cs="Arial"/>
          <w:b/>
          <w:color w:val="333333"/>
        </w:rPr>
        <w:t>DECRETA:</w:t>
      </w:r>
    </w:p>
    <w:p w14:paraId="01666FA9" w14:textId="77777777" w:rsidR="008D7166" w:rsidRDefault="008D7166">
      <w:pPr>
        <w:widowControl w:val="0"/>
        <w:spacing w:after="0" w:line="240" w:lineRule="auto"/>
        <w:jc w:val="both"/>
        <w:rPr>
          <w:rFonts w:ascii="Arial" w:eastAsia="Arial" w:hAnsi="Arial" w:cs="Arial"/>
        </w:rPr>
      </w:pPr>
    </w:p>
    <w:p w14:paraId="51D66A5B" w14:textId="77777777" w:rsidR="008D7166" w:rsidRDefault="00233308">
      <w:pPr>
        <w:widowControl w:val="0"/>
        <w:spacing w:after="0" w:line="240" w:lineRule="auto"/>
        <w:jc w:val="both"/>
        <w:rPr>
          <w:rFonts w:ascii="Arial" w:eastAsia="Arial" w:hAnsi="Arial" w:cs="Arial"/>
          <w:color w:val="333333"/>
        </w:rPr>
      </w:pPr>
      <w:bookmarkStart w:id="123" w:name="_heading=h.cy3daahit5tg" w:colFirst="0" w:colLast="0"/>
      <w:bookmarkEnd w:id="123"/>
      <w:r>
        <w:rPr>
          <w:rFonts w:ascii="Arial" w:eastAsia="Arial" w:hAnsi="Arial" w:cs="Arial"/>
          <w:b/>
          <w:color w:val="333333"/>
        </w:rPr>
        <w:t>Artículo 1. Objeto.</w:t>
      </w:r>
      <w:r>
        <w:rPr>
          <w:rFonts w:ascii="Arial" w:eastAsia="Arial" w:hAnsi="Arial" w:cs="Arial"/>
          <w:color w:val="333333"/>
        </w:rPr>
        <w:t xml:space="preserve"> La presente ley promueve condiciones de libertad y competencia justa para</w:t>
      </w:r>
      <w:r>
        <w:rPr>
          <w:rFonts w:ascii="Arial" w:eastAsia="Arial" w:hAnsi="Arial" w:cs="Arial"/>
          <w:color w:val="333333"/>
        </w:rPr>
        <w:t xml:space="preserve"> los establecimientos de crédito, permitiendo que todas las instituciones financieras que los comprenden puedan ofrecer sus servicios a las entidades territoriales y a las entidades descentralizadas del orden territorial para invertir sus recursos de exced</w:t>
      </w:r>
      <w:r>
        <w:rPr>
          <w:rFonts w:ascii="Arial" w:eastAsia="Arial" w:hAnsi="Arial" w:cs="Arial"/>
          <w:color w:val="333333"/>
        </w:rPr>
        <w:t xml:space="preserve">entes de liquidez. </w:t>
      </w:r>
    </w:p>
    <w:p w14:paraId="29BAF53C" w14:textId="77777777" w:rsidR="008D7166" w:rsidRDefault="008D7166">
      <w:pPr>
        <w:widowControl w:val="0"/>
        <w:spacing w:after="0" w:line="240" w:lineRule="auto"/>
        <w:ind w:left="720"/>
        <w:jc w:val="both"/>
        <w:rPr>
          <w:rFonts w:ascii="Arial" w:eastAsia="Arial" w:hAnsi="Arial" w:cs="Arial"/>
          <w:color w:val="333333"/>
        </w:rPr>
      </w:pPr>
      <w:bookmarkStart w:id="124" w:name="_heading=h.hti7cad9xdt3" w:colFirst="0" w:colLast="0"/>
      <w:bookmarkEnd w:id="124"/>
    </w:p>
    <w:p w14:paraId="045ECB61" w14:textId="77777777" w:rsidR="008D7166" w:rsidRDefault="00233308">
      <w:pPr>
        <w:widowControl w:val="0"/>
        <w:spacing w:after="0" w:line="240" w:lineRule="auto"/>
        <w:jc w:val="both"/>
        <w:rPr>
          <w:rFonts w:ascii="Arial" w:eastAsia="Arial" w:hAnsi="Arial" w:cs="Arial"/>
          <w:color w:val="333333"/>
        </w:rPr>
      </w:pPr>
      <w:bookmarkStart w:id="125" w:name="_heading=h.56ct7m1o3ca" w:colFirst="0" w:colLast="0"/>
      <w:bookmarkEnd w:id="125"/>
      <w:r>
        <w:rPr>
          <w:rFonts w:ascii="Arial" w:eastAsia="Arial" w:hAnsi="Arial" w:cs="Arial"/>
          <w:b/>
          <w:color w:val="333333"/>
        </w:rPr>
        <w:t>Artículo 2. Inversión de los excedentes de liquidez.</w:t>
      </w:r>
      <w:r>
        <w:rPr>
          <w:rFonts w:ascii="Arial" w:eastAsia="Arial" w:hAnsi="Arial" w:cs="Arial"/>
          <w:color w:val="333333"/>
        </w:rPr>
        <w:t xml:space="preserve"> Las entidades territoriales y las entidades descentralizadas del orden territorial con participación pública superior al cincuenta por ciento (50%), sin perjuicio de las demás invers</w:t>
      </w:r>
      <w:r>
        <w:rPr>
          <w:rFonts w:ascii="Arial" w:eastAsia="Arial" w:hAnsi="Arial" w:cs="Arial"/>
          <w:color w:val="333333"/>
        </w:rPr>
        <w:t xml:space="preserve">iones autorizadas en la ley, podrán invertir sus excedentes de liquidez, así: </w:t>
      </w:r>
    </w:p>
    <w:p w14:paraId="43ACEDC7" w14:textId="77777777" w:rsidR="008D7166" w:rsidRDefault="008D7166">
      <w:pPr>
        <w:widowControl w:val="0"/>
        <w:spacing w:after="0" w:line="240" w:lineRule="auto"/>
        <w:ind w:left="720"/>
        <w:jc w:val="both"/>
        <w:rPr>
          <w:rFonts w:ascii="Arial" w:eastAsia="Arial" w:hAnsi="Arial" w:cs="Arial"/>
          <w:color w:val="333333"/>
        </w:rPr>
      </w:pPr>
      <w:bookmarkStart w:id="126" w:name="_heading=h.cptfxpgqfzf3" w:colFirst="0" w:colLast="0"/>
      <w:bookmarkEnd w:id="126"/>
    </w:p>
    <w:p w14:paraId="5C2AC535" w14:textId="77777777" w:rsidR="008D7166" w:rsidRDefault="00233308">
      <w:pPr>
        <w:widowControl w:val="0"/>
        <w:spacing w:after="0" w:line="240" w:lineRule="auto"/>
        <w:jc w:val="both"/>
        <w:rPr>
          <w:rFonts w:ascii="Arial" w:eastAsia="Arial" w:hAnsi="Arial" w:cs="Arial"/>
          <w:color w:val="333333"/>
        </w:rPr>
      </w:pPr>
      <w:bookmarkStart w:id="127" w:name="_heading=h.1hp3veowpin3" w:colFirst="0" w:colLast="0"/>
      <w:bookmarkEnd w:id="127"/>
      <w:r>
        <w:rPr>
          <w:rFonts w:ascii="Arial" w:eastAsia="Arial" w:hAnsi="Arial" w:cs="Arial"/>
          <w:color w:val="333333"/>
        </w:rPr>
        <w:t xml:space="preserve">1. En Títulos de Tesorería (TES) Clase “B”, tasa fija o indexados a la UVR, del mercado primario directamente ante la Dirección General de Crédito Público y Tesoro Nacional o en el mercado secundario en condiciones de mercado y, </w:t>
      </w:r>
    </w:p>
    <w:p w14:paraId="6FDC5AE4" w14:textId="77777777" w:rsidR="008D7166" w:rsidRDefault="008D7166">
      <w:pPr>
        <w:widowControl w:val="0"/>
        <w:spacing w:after="0" w:line="240" w:lineRule="auto"/>
        <w:ind w:left="720"/>
        <w:jc w:val="both"/>
        <w:rPr>
          <w:rFonts w:ascii="Arial" w:eastAsia="Arial" w:hAnsi="Arial" w:cs="Arial"/>
          <w:color w:val="333333"/>
        </w:rPr>
      </w:pPr>
      <w:bookmarkStart w:id="128" w:name="_heading=h.vk4lk6f45cav" w:colFirst="0" w:colLast="0"/>
      <w:bookmarkEnd w:id="128"/>
    </w:p>
    <w:p w14:paraId="7397D875" w14:textId="77777777" w:rsidR="008D7166" w:rsidRDefault="00233308">
      <w:pPr>
        <w:widowControl w:val="0"/>
        <w:spacing w:after="0" w:line="240" w:lineRule="auto"/>
        <w:jc w:val="both"/>
        <w:rPr>
          <w:rFonts w:ascii="Arial" w:eastAsia="Arial" w:hAnsi="Arial" w:cs="Arial"/>
          <w:color w:val="333333"/>
        </w:rPr>
      </w:pPr>
      <w:bookmarkStart w:id="129" w:name="_heading=h.hd5opdnrrzr2" w:colFirst="0" w:colLast="0"/>
      <w:bookmarkEnd w:id="129"/>
      <w:r>
        <w:rPr>
          <w:rFonts w:ascii="Arial" w:eastAsia="Arial" w:hAnsi="Arial" w:cs="Arial"/>
          <w:color w:val="333333"/>
        </w:rPr>
        <w:t>2. En certificados de dep</w:t>
      </w:r>
      <w:r>
        <w:rPr>
          <w:rFonts w:ascii="Arial" w:eastAsia="Arial" w:hAnsi="Arial" w:cs="Arial"/>
          <w:color w:val="333333"/>
        </w:rPr>
        <w:t xml:space="preserve">ósitos a término, depósitos en cuenta corriente, de ahorros o a término en condiciones de mercado en establecimientos de crédito vigilados por la Superintendencia Financiera de Colombia. </w:t>
      </w:r>
    </w:p>
    <w:p w14:paraId="2357F578" w14:textId="77777777" w:rsidR="008D7166" w:rsidRDefault="008D7166">
      <w:pPr>
        <w:widowControl w:val="0"/>
        <w:spacing w:after="0" w:line="240" w:lineRule="auto"/>
        <w:ind w:left="720"/>
        <w:jc w:val="both"/>
        <w:rPr>
          <w:rFonts w:ascii="Arial" w:eastAsia="Arial" w:hAnsi="Arial" w:cs="Arial"/>
          <w:color w:val="333333"/>
        </w:rPr>
      </w:pPr>
      <w:bookmarkStart w:id="130" w:name="_heading=h.xlmt1uqipp9f" w:colFirst="0" w:colLast="0"/>
      <w:bookmarkEnd w:id="130"/>
    </w:p>
    <w:p w14:paraId="0070C4E7" w14:textId="77777777" w:rsidR="008D7166" w:rsidRDefault="00233308">
      <w:pPr>
        <w:widowControl w:val="0"/>
        <w:spacing w:after="0" w:line="240" w:lineRule="auto"/>
        <w:jc w:val="both"/>
        <w:rPr>
          <w:rFonts w:ascii="Arial" w:eastAsia="Arial" w:hAnsi="Arial" w:cs="Arial"/>
          <w:color w:val="333333"/>
        </w:rPr>
      </w:pPr>
      <w:bookmarkStart w:id="131" w:name="_heading=h.gwc5bt36438j" w:colFirst="0" w:colLast="0"/>
      <w:bookmarkEnd w:id="131"/>
      <w:r>
        <w:rPr>
          <w:rFonts w:ascii="Arial" w:eastAsia="Arial" w:hAnsi="Arial" w:cs="Arial"/>
          <w:b/>
          <w:color w:val="333333"/>
        </w:rPr>
        <w:t xml:space="preserve">Parágrafo 1. </w:t>
      </w:r>
      <w:r>
        <w:rPr>
          <w:rFonts w:ascii="Arial" w:eastAsia="Arial" w:hAnsi="Arial" w:cs="Arial"/>
          <w:color w:val="333333"/>
        </w:rPr>
        <w:t>Para efectos de las inversiones en establecimientos de</w:t>
      </w:r>
      <w:r>
        <w:rPr>
          <w:rFonts w:ascii="Arial" w:eastAsia="Arial" w:hAnsi="Arial" w:cs="Arial"/>
          <w:color w:val="333333"/>
        </w:rPr>
        <w:t xml:space="preserve"> crédito de las que trata este artículo, estos deberán cumplir con la siguiente calificación de riesgo, según el plazo de inversión así: </w:t>
      </w:r>
    </w:p>
    <w:p w14:paraId="09459185" w14:textId="77777777" w:rsidR="00B00C6C" w:rsidRDefault="00B00C6C">
      <w:pPr>
        <w:widowControl w:val="0"/>
        <w:spacing w:after="0" w:line="240" w:lineRule="auto"/>
        <w:jc w:val="both"/>
        <w:rPr>
          <w:rFonts w:ascii="Arial" w:eastAsia="Arial" w:hAnsi="Arial" w:cs="Arial"/>
          <w:color w:val="333333"/>
        </w:rPr>
      </w:pPr>
    </w:p>
    <w:p w14:paraId="013E9043" w14:textId="77777777" w:rsidR="008D7166" w:rsidRDefault="008D7166">
      <w:pPr>
        <w:widowControl w:val="0"/>
        <w:spacing w:after="0" w:line="240" w:lineRule="auto"/>
        <w:ind w:left="720"/>
        <w:jc w:val="both"/>
        <w:rPr>
          <w:rFonts w:ascii="Arial" w:eastAsia="Arial" w:hAnsi="Arial" w:cs="Arial"/>
          <w:color w:val="333333"/>
        </w:rPr>
      </w:pPr>
      <w:bookmarkStart w:id="132" w:name="_heading=h.mbfnj4vm50ah" w:colFirst="0" w:colLast="0"/>
      <w:bookmarkEnd w:id="132"/>
    </w:p>
    <w:p w14:paraId="5831129C" w14:textId="77777777" w:rsidR="008D7166" w:rsidRDefault="00233308">
      <w:pPr>
        <w:widowControl w:val="0"/>
        <w:spacing w:after="0" w:line="240" w:lineRule="auto"/>
        <w:jc w:val="both"/>
        <w:rPr>
          <w:rFonts w:ascii="Arial" w:eastAsia="Arial" w:hAnsi="Arial" w:cs="Arial"/>
          <w:color w:val="333333"/>
        </w:rPr>
      </w:pPr>
      <w:bookmarkStart w:id="133" w:name="_heading=h.lhfo2ewyhbzn" w:colFirst="0" w:colLast="0"/>
      <w:bookmarkEnd w:id="133"/>
      <w:r>
        <w:rPr>
          <w:rFonts w:ascii="Arial" w:eastAsia="Arial" w:hAnsi="Arial" w:cs="Arial"/>
          <w:color w:val="333333"/>
        </w:rPr>
        <w:t>1. Para inversiones con plazo igual o inferior a un (1) año, el establecimiento de crédito deberá contar con una cal</w:t>
      </w:r>
      <w:r>
        <w:rPr>
          <w:rFonts w:ascii="Arial" w:eastAsia="Arial" w:hAnsi="Arial" w:cs="Arial"/>
          <w:color w:val="333333"/>
        </w:rPr>
        <w:t xml:space="preserve">ificación vigente correspondiente a la máxima categoría para el </w:t>
      </w:r>
      <w:r>
        <w:rPr>
          <w:rFonts w:ascii="Arial" w:eastAsia="Arial" w:hAnsi="Arial" w:cs="Arial"/>
          <w:color w:val="333333"/>
        </w:rPr>
        <w:lastRenderedPageBreak/>
        <w:t xml:space="preserve">corto plazo, de acuerdo con las escalas usadas por las sociedades calificadoras que la otorgan y contar como mínimo con la segunda mejor calificación vigente para el largo plazo utilizada por </w:t>
      </w:r>
      <w:r>
        <w:rPr>
          <w:rFonts w:ascii="Arial" w:eastAsia="Arial" w:hAnsi="Arial" w:cs="Arial"/>
          <w:color w:val="333333"/>
        </w:rPr>
        <w:t xml:space="preserve">las respectivas sociedades. </w:t>
      </w:r>
    </w:p>
    <w:p w14:paraId="6DA3DFD1" w14:textId="77777777" w:rsidR="008D7166" w:rsidRDefault="00233308">
      <w:pPr>
        <w:widowControl w:val="0"/>
        <w:spacing w:after="0" w:line="240" w:lineRule="auto"/>
        <w:jc w:val="both"/>
        <w:rPr>
          <w:rFonts w:ascii="Arial" w:eastAsia="Arial" w:hAnsi="Arial" w:cs="Arial"/>
          <w:color w:val="333333"/>
        </w:rPr>
      </w:pPr>
      <w:bookmarkStart w:id="134" w:name="_heading=h.sdq3ecbg4zjn" w:colFirst="0" w:colLast="0"/>
      <w:bookmarkEnd w:id="134"/>
      <w:r>
        <w:rPr>
          <w:rFonts w:ascii="Arial" w:eastAsia="Arial" w:hAnsi="Arial" w:cs="Arial"/>
          <w:color w:val="333333"/>
        </w:rPr>
        <w:t>2. Para inversiones con plazo superior a un (1) año, el establecimiento de crédito deberá contar como mínimo con la segunda mejor calificación vigente para el largo plazo, según la escala utilizada por las sociedades calificado</w:t>
      </w:r>
      <w:r>
        <w:rPr>
          <w:rFonts w:ascii="Arial" w:eastAsia="Arial" w:hAnsi="Arial" w:cs="Arial"/>
          <w:color w:val="333333"/>
        </w:rPr>
        <w:t xml:space="preserve">ras y la máxima calificación para el corto plazo de acuerdo con la escala utilizada para este plazo. </w:t>
      </w:r>
    </w:p>
    <w:p w14:paraId="42CE5128" w14:textId="77777777" w:rsidR="008D7166" w:rsidRDefault="00233308">
      <w:pPr>
        <w:widowControl w:val="0"/>
        <w:spacing w:after="0" w:line="240" w:lineRule="auto"/>
        <w:jc w:val="both"/>
        <w:rPr>
          <w:rFonts w:ascii="Arial" w:eastAsia="Arial" w:hAnsi="Arial" w:cs="Arial"/>
          <w:color w:val="333333"/>
        </w:rPr>
      </w:pPr>
      <w:bookmarkStart w:id="135" w:name="_heading=h.svhzwtsiq286" w:colFirst="0" w:colLast="0"/>
      <w:bookmarkEnd w:id="135"/>
      <w:r>
        <w:rPr>
          <w:rFonts w:ascii="Arial" w:eastAsia="Arial" w:hAnsi="Arial" w:cs="Arial"/>
          <w:color w:val="333333"/>
        </w:rPr>
        <w:t>3. Las entidades territoriales podrán seguir colocando sus excedentes de liquidez en Instituciones de Fomento y Desarrollo calificadas como de bajo riesgo</w:t>
      </w:r>
      <w:r>
        <w:rPr>
          <w:rFonts w:ascii="Arial" w:eastAsia="Arial" w:hAnsi="Arial" w:cs="Arial"/>
          <w:color w:val="333333"/>
        </w:rPr>
        <w:t xml:space="preserve"> crediticio. </w:t>
      </w:r>
    </w:p>
    <w:p w14:paraId="000C4B85" w14:textId="77777777" w:rsidR="008D7166" w:rsidRDefault="008D7166">
      <w:pPr>
        <w:widowControl w:val="0"/>
        <w:spacing w:after="0" w:line="240" w:lineRule="auto"/>
        <w:ind w:left="720"/>
        <w:jc w:val="both"/>
        <w:rPr>
          <w:rFonts w:ascii="Arial" w:eastAsia="Arial" w:hAnsi="Arial" w:cs="Arial"/>
          <w:color w:val="333333"/>
        </w:rPr>
      </w:pPr>
      <w:bookmarkStart w:id="136" w:name="_heading=h.gndh861rydzh" w:colFirst="0" w:colLast="0"/>
      <w:bookmarkEnd w:id="136"/>
    </w:p>
    <w:p w14:paraId="72B9D493" w14:textId="77777777" w:rsidR="008D7166" w:rsidRDefault="00233308">
      <w:pPr>
        <w:widowControl w:val="0"/>
        <w:spacing w:after="0" w:line="240" w:lineRule="auto"/>
        <w:jc w:val="both"/>
        <w:rPr>
          <w:rFonts w:ascii="Arial" w:eastAsia="Arial" w:hAnsi="Arial" w:cs="Arial"/>
          <w:color w:val="333333"/>
        </w:rPr>
      </w:pPr>
      <w:bookmarkStart w:id="137" w:name="_heading=h.4cphlf48qube" w:colFirst="0" w:colLast="0"/>
      <w:bookmarkEnd w:id="137"/>
      <w:r>
        <w:rPr>
          <w:rFonts w:ascii="Arial" w:eastAsia="Arial" w:hAnsi="Arial" w:cs="Arial"/>
          <w:b/>
          <w:color w:val="333333"/>
        </w:rPr>
        <w:t>Parágrafo 2.</w:t>
      </w:r>
      <w:r>
        <w:rPr>
          <w:rFonts w:ascii="Arial" w:eastAsia="Arial" w:hAnsi="Arial" w:cs="Arial"/>
          <w:color w:val="333333"/>
        </w:rPr>
        <w:t xml:space="preserve"> Tratándose de excedentes de liquidez de recursos de regalías y compensaciones deberá reportarse su inversión, trimestralmente, a la Dirección de Regalías del Departamento Nacional de Planeación, por medio físico y magnético, dentro del mes siguiente a la </w:t>
      </w:r>
      <w:r>
        <w:rPr>
          <w:rFonts w:ascii="Arial" w:eastAsia="Arial" w:hAnsi="Arial" w:cs="Arial"/>
          <w:color w:val="333333"/>
        </w:rPr>
        <w:t xml:space="preserve">fecha de corte de cada trimestre y a través de los formatos que para tal efecto sea diseñados por la entidad. </w:t>
      </w:r>
    </w:p>
    <w:p w14:paraId="5E1D127F" w14:textId="77777777" w:rsidR="008D7166" w:rsidRDefault="008D7166">
      <w:pPr>
        <w:widowControl w:val="0"/>
        <w:spacing w:after="0" w:line="240" w:lineRule="auto"/>
        <w:ind w:left="720"/>
        <w:jc w:val="both"/>
        <w:rPr>
          <w:rFonts w:ascii="Arial" w:eastAsia="Arial" w:hAnsi="Arial" w:cs="Arial"/>
          <w:color w:val="333333"/>
        </w:rPr>
      </w:pPr>
      <w:bookmarkStart w:id="138" w:name="_heading=h.i3goohk459y0" w:colFirst="0" w:colLast="0"/>
      <w:bookmarkEnd w:id="138"/>
    </w:p>
    <w:p w14:paraId="1C5B8CCC" w14:textId="77777777" w:rsidR="008D7166" w:rsidRDefault="00233308">
      <w:pPr>
        <w:widowControl w:val="0"/>
        <w:spacing w:after="0" w:line="240" w:lineRule="auto"/>
        <w:jc w:val="both"/>
        <w:rPr>
          <w:rFonts w:ascii="Arial" w:eastAsia="Arial" w:hAnsi="Arial" w:cs="Arial"/>
          <w:color w:val="333333"/>
        </w:rPr>
      </w:pPr>
      <w:bookmarkStart w:id="139" w:name="_heading=h.ut389xminm3c" w:colFirst="0" w:colLast="0"/>
      <w:bookmarkEnd w:id="139"/>
      <w:r>
        <w:rPr>
          <w:rFonts w:ascii="Arial" w:eastAsia="Arial" w:hAnsi="Arial" w:cs="Arial"/>
          <w:b/>
          <w:color w:val="333333"/>
        </w:rPr>
        <w:t>Parágrafo 3.</w:t>
      </w:r>
      <w:r>
        <w:rPr>
          <w:rFonts w:ascii="Arial" w:eastAsia="Arial" w:hAnsi="Arial" w:cs="Arial"/>
          <w:color w:val="333333"/>
        </w:rPr>
        <w:t xml:space="preserve"> Los recursos de que trata este artículo podrán seguir siendo invertidos en fondos de inversión colectiva del mercado monetario o ab</w:t>
      </w:r>
      <w:r>
        <w:rPr>
          <w:rFonts w:ascii="Arial" w:eastAsia="Arial" w:hAnsi="Arial" w:cs="Arial"/>
          <w:color w:val="333333"/>
        </w:rPr>
        <w:t xml:space="preserve">iertos sin pacto de permanencia administrados por sociedades fiduciarias, conforme a la normatividad vigente. </w:t>
      </w:r>
    </w:p>
    <w:p w14:paraId="7F352ED8" w14:textId="77777777" w:rsidR="008D7166" w:rsidRDefault="008D7166">
      <w:pPr>
        <w:widowControl w:val="0"/>
        <w:spacing w:after="0" w:line="240" w:lineRule="auto"/>
        <w:ind w:left="720"/>
        <w:jc w:val="both"/>
        <w:rPr>
          <w:rFonts w:ascii="Arial" w:eastAsia="Arial" w:hAnsi="Arial" w:cs="Arial"/>
          <w:color w:val="333333"/>
        </w:rPr>
      </w:pPr>
      <w:bookmarkStart w:id="140" w:name="_heading=h.5cjct8pyqdqp" w:colFirst="0" w:colLast="0"/>
      <w:bookmarkEnd w:id="140"/>
    </w:p>
    <w:p w14:paraId="36531246" w14:textId="77777777" w:rsidR="008D7166" w:rsidRDefault="00233308">
      <w:pPr>
        <w:widowControl w:val="0"/>
        <w:spacing w:after="0" w:line="240" w:lineRule="auto"/>
        <w:jc w:val="both"/>
        <w:rPr>
          <w:rFonts w:ascii="Arial" w:eastAsia="Arial" w:hAnsi="Arial" w:cs="Arial"/>
          <w:color w:val="333333"/>
        </w:rPr>
      </w:pPr>
      <w:bookmarkStart w:id="141" w:name="_heading=h.tszvkbdv383u" w:colFirst="0" w:colLast="0"/>
      <w:bookmarkEnd w:id="141"/>
      <w:r>
        <w:rPr>
          <w:rFonts w:ascii="Arial" w:eastAsia="Arial" w:hAnsi="Arial" w:cs="Arial"/>
          <w:b/>
          <w:color w:val="333333"/>
        </w:rPr>
        <w:t>Parágrafo 4.</w:t>
      </w:r>
      <w:r>
        <w:rPr>
          <w:rFonts w:ascii="Arial" w:eastAsia="Arial" w:hAnsi="Arial" w:cs="Arial"/>
          <w:color w:val="333333"/>
        </w:rPr>
        <w:t xml:space="preserve"> El Gobierno Nacional, a través del Ministerio de Hacienda y Crédito Público, reglamentará lo dispuesto en el presente artículo. </w:t>
      </w:r>
    </w:p>
    <w:p w14:paraId="2BF0E05F" w14:textId="77777777" w:rsidR="008D7166" w:rsidRDefault="008D7166">
      <w:pPr>
        <w:widowControl w:val="0"/>
        <w:spacing w:after="0" w:line="240" w:lineRule="auto"/>
        <w:jc w:val="both"/>
        <w:rPr>
          <w:rFonts w:ascii="Arial" w:eastAsia="Arial" w:hAnsi="Arial" w:cs="Arial"/>
          <w:color w:val="333333"/>
        </w:rPr>
      </w:pPr>
      <w:bookmarkStart w:id="142" w:name="_heading=h.2tjo6nrxgd6c" w:colFirst="0" w:colLast="0"/>
      <w:bookmarkEnd w:id="142"/>
    </w:p>
    <w:p w14:paraId="52DC674A" w14:textId="77777777" w:rsidR="008D7166" w:rsidRDefault="00233308">
      <w:pPr>
        <w:widowControl w:val="0"/>
        <w:spacing w:after="0" w:line="240" w:lineRule="auto"/>
        <w:jc w:val="both"/>
        <w:rPr>
          <w:rFonts w:ascii="Arial" w:eastAsia="Arial" w:hAnsi="Arial" w:cs="Arial"/>
          <w:color w:val="333333"/>
        </w:rPr>
      </w:pPr>
      <w:bookmarkStart w:id="143" w:name="_heading=h.4byr2lswnqfn" w:colFirst="0" w:colLast="0"/>
      <w:bookmarkEnd w:id="143"/>
      <w:r>
        <w:rPr>
          <w:rFonts w:ascii="Arial" w:eastAsia="Arial" w:hAnsi="Arial" w:cs="Arial"/>
          <w:b/>
          <w:color w:val="333333"/>
        </w:rPr>
        <w:t>A</w:t>
      </w:r>
      <w:r>
        <w:rPr>
          <w:rFonts w:ascii="Arial" w:eastAsia="Arial" w:hAnsi="Arial" w:cs="Arial"/>
          <w:b/>
          <w:color w:val="333333"/>
        </w:rPr>
        <w:t>rtículo 3. Control y Vigilancia.</w:t>
      </w:r>
      <w:r>
        <w:rPr>
          <w:rFonts w:ascii="Arial" w:eastAsia="Arial" w:hAnsi="Arial" w:cs="Arial"/>
          <w:color w:val="333333"/>
        </w:rPr>
        <w:t xml:space="preserve"> En los casos en que las entidades de orden territorial de que trata la presente Ley inviertan sus excedentes de liquidez en establecimientos de crédito diferentes a los establecimientos bancarios, la Superintendencia Financ</w:t>
      </w:r>
      <w:r>
        <w:rPr>
          <w:rFonts w:ascii="Arial" w:eastAsia="Arial" w:hAnsi="Arial" w:cs="Arial"/>
          <w:color w:val="333333"/>
        </w:rPr>
        <w:t>iera ejercerá el control y vigilancia a dichos establecimientos de crédito a través de los mecanismos con los que ya cuenta la entidad.</w:t>
      </w:r>
    </w:p>
    <w:p w14:paraId="6C73665C" w14:textId="77777777" w:rsidR="008D7166" w:rsidRDefault="008D7166">
      <w:pPr>
        <w:widowControl w:val="0"/>
        <w:spacing w:after="0" w:line="240" w:lineRule="auto"/>
        <w:jc w:val="both"/>
        <w:rPr>
          <w:rFonts w:ascii="Arial" w:eastAsia="Arial" w:hAnsi="Arial" w:cs="Arial"/>
          <w:color w:val="333333"/>
        </w:rPr>
      </w:pPr>
      <w:bookmarkStart w:id="144" w:name="_heading=h.t8suhs85lab5" w:colFirst="0" w:colLast="0"/>
      <w:bookmarkEnd w:id="144"/>
    </w:p>
    <w:p w14:paraId="222AC784" w14:textId="77777777" w:rsidR="008D7166" w:rsidRDefault="00233308">
      <w:pPr>
        <w:widowControl w:val="0"/>
        <w:spacing w:after="0" w:line="240" w:lineRule="auto"/>
        <w:jc w:val="both"/>
        <w:rPr>
          <w:rFonts w:ascii="Arial" w:eastAsia="Arial" w:hAnsi="Arial" w:cs="Arial"/>
          <w:color w:val="333333"/>
        </w:rPr>
      </w:pPr>
      <w:bookmarkStart w:id="145" w:name="_heading=h.4ijxzxcermcl" w:colFirst="0" w:colLast="0"/>
      <w:bookmarkEnd w:id="145"/>
      <w:r>
        <w:rPr>
          <w:rFonts w:ascii="Arial" w:eastAsia="Arial" w:hAnsi="Arial" w:cs="Arial"/>
          <w:b/>
          <w:color w:val="333333"/>
        </w:rPr>
        <w:t>Artículo 4. Publicidad y transparencia.</w:t>
      </w:r>
      <w:r>
        <w:rPr>
          <w:rFonts w:ascii="Arial" w:eastAsia="Arial" w:hAnsi="Arial" w:cs="Arial"/>
          <w:color w:val="333333"/>
        </w:rPr>
        <w:t xml:space="preserve"> Las operaciones de las que trata la presente Ley estarán sujetas a los principi</w:t>
      </w:r>
      <w:r>
        <w:rPr>
          <w:rFonts w:ascii="Arial" w:eastAsia="Arial" w:hAnsi="Arial" w:cs="Arial"/>
          <w:color w:val="333333"/>
        </w:rPr>
        <w:t xml:space="preserve">os de publicidad y transparencia, por lo que las entidades de orden territorial de que trata la presente Ley deberán publicar y socializar anualmente a la ciudadanía un informe que dé cuenta de sus inversiones de excedentes de liquidez en establecimientos </w:t>
      </w:r>
      <w:r>
        <w:rPr>
          <w:rFonts w:ascii="Arial" w:eastAsia="Arial" w:hAnsi="Arial" w:cs="Arial"/>
          <w:color w:val="333333"/>
        </w:rPr>
        <w:t>de crédito y del estado de las mismas, sin perjuicio de los demás mecanismos de rendición de cuentas con los que ya cuentan las entidades.</w:t>
      </w:r>
    </w:p>
    <w:p w14:paraId="5E34E29A" w14:textId="77777777" w:rsidR="008D7166" w:rsidRDefault="008D7166">
      <w:pPr>
        <w:widowControl w:val="0"/>
        <w:spacing w:after="0" w:line="240" w:lineRule="auto"/>
        <w:jc w:val="both"/>
        <w:rPr>
          <w:rFonts w:ascii="Arial" w:eastAsia="Arial" w:hAnsi="Arial" w:cs="Arial"/>
          <w:color w:val="333333"/>
        </w:rPr>
      </w:pPr>
      <w:bookmarkStart w:id="146" w:name="_heading=h.cgrcnvs60h9s" w:colFirst="0" w:colLast="0"/>
      <w:bookmarkEnd w:id="146"/>
    </w:p>
    <w:p w14:paraId="2DE60B02" w14:textId="77777777" w:rsidR="008D7166" w:rsidRDefault="00233308">
      <w:pPr>
        <w:widowControl w:val="0"/>
        <w:spacing w:after="0" w:line="240" w:lineRule="auto"/>
        <w:jc w:val="both"/>
        <w:rPr>
          <w:rFonts w:ascii="Arial" w:eastAsia="Arial" w:hAnsi="Arial" w:cs="Arial"/>
          <w:color w:val="333333"/>
        </w:rPr>
      </w:pPr>
      <w:bookmarkStart w:id="147" w:name="_heading=h.gm8wbds67tg0" w:colFirst="0" w:colLast="0"/>
      <w:bookmarkEnd w:id="147"/>
      <w:r>
        <w:rPr>
          <w:rFonts w:ascii="Arial" w:eastAsia="Arial" w:hAnsi="Arial" w:cs="Arial"/>
          <w:b/>
          <w:color w:val="333333"/>
        </w:rPr>
        <w:t>Artículo 5. Vigencia y derogatorias.</w:t>
      </w:r>
      <w:r>
        <w:rPr>
          <w:rFonts w:ascii="Arial" w:eastAsia="Arial" w:hAnsi="Arial" w:cs="Arial"/>
          <w:color w:val="333333"/>
        </w:rPr>
        <w:t xml:space="preserve"> La presente ley rige a partir de su promulgación y deroga todas las disposicion</w:t>
      </w:r>
      <w:r>
        <w:rPr>
          <w:rFonts w:ascii="Arial" w:eastAsia="Arial" w:hAnsi="Arial" w:cs="Arial"/>
          <w:color w:val="333333"/>
        </w:rPr>
        <w:t>es que le sean contrarias.</w:t>
      </w:r>
    </w:p>
    <w:p w14:paraId="213E4BEB" w14:textId="77777777" w:rsidR="00B00C6C" w:rsidRDefault="00B00C6C">
      <w:pPr>
        <w:widowControl w:val="0"/>
        <w:spacing w:after="0" w:line="240" w:lineRule="auto"/>
        <w:jc w:val="both"/>
        <w:rPr>
          <w:rFonts w:ascii="Arial" w:eastAsia="Arial" w:hAnsi="Arial" w:cs="Arial"/>
        </w:rPr>
      </w:pPr>
    </w:p>
    <w:p w14:paraId="563CE33E" w14:textId="0CC2465D" w:rsidR="008D7166" w:rsidRDefault="00233308">
      <w:pPr>
        <w:widowControl w:val="0"/>
        <w:spacing w:after="0" w:line="240" w:lineRule="auto"/>
        <w:jc w:val="both"/>
        <w:rPr>
          <w:rFonts w:ascii="Arial" w:hAnsi="Arial" w:cs="Arial"/>
          <w:noProof/>
        </w:rPr>
      </w:pPr>
      <w:r>
        <w:rPr>
          <w:rFonts w:ascii="Arial" w:eastAsia="Arial" w:hAnsi="Arial" w:cs="Arial"/>
        </w:rPr>
        <w:t>De los Honorables Congresistas:</w:t>
      </w:r>
      <w:r w:rsidR="009B43D6" w:rsidRPr="009B43D6">
        <w:rPr>
          <w:rFonts w:ascii="Arial" w:hAnsi="Arial" w:cs="Arial"/>
          <w:noProof/>
        </w:rPr>
        <w:t xml:space="preserve"> </w:t>
      </w:r>
    </w:p>
    <w:p w14:paraId="78E6B5BC" w14:textId="7CB65941" w:rsidR="008D7166" w:rsidRDefault="008D7166">
      <w:pPr>
        <w:widowControl w:val="0"/>
        <w:spacing w:after="0" w:line="240" w:lineRule="auto"/>
        <w:jc w:val="both"/>
        <w:rPr>
          <w:rFonts w:ascii="Arial" w:eastAsia="Arial" w:hAnsi="Arial" w:cs="Arial"/>
        </w:rPr>
      </w:pPr>
    </w:p>
    <w:tbl>
      <w:tblPr>
        <w:tblStyle w:val="a8"/>
        <w:tblW w:w="883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20"/>
      </w:tblGrid>
      <w:tr w:rsidR="008D7166" w14:paraId="71F32E78" w14:textId="77777777">
        <w:tc>
          <w:tcPr>
            <w:tcW w:w="4419" w:type="dxa"/>
            <w:shd w:val="clear" w:color="auto" w:fill="auto"/>
            <w:tcMar>
              <w:top w:w="100" w:type="dxa"/>
              <w:left w:w="100" w:type="dxa"/>
              <w:bottom w:w="100" w:type="dxa"/>
              <w:right w:w="100" w:type="dxa"/>
            </w:tcMar>
          </w:tcPr>
          <w:p w14:paraId="45D6E2EF" w14:textId="62530AE4" w:rsidR="008D7166" w:rsidRDefault="008D7166">
            <w:pPr>
              <w:widowControl w:val="0"/>
              <w:pBdr>
                <w:top w:val="nil"/>
                <w:left w:val="nil"/>
                <w:bottom w:val="nil"/>
                <w:right w:val="nil"/>
                <w:between w:val="nil"/>
              </w:pBdr>
              <w:spacing w:after="0" w:line="240" w:lineRule="auto"/>
              <w:rPr>
                <w:rFonts w:ascii="Arial" w:eastAsia="Arial" w:hAnsi="Arial" w:cs="Arial"/>
                <w:b/>
              </w:rPr>
            </w:pPr>
          </w:p>
          <w:p w14:paraId="5FCCCB68" w14:textId="29B5610C" w:rsidR="008D7166" w:rsidRDefault="008D7166">
            <w:pPr>
              <w:widowControl w:val="0"/>
              <w:pBdr>
                <w:top w:val="nil"/>
                <w:left w:val="nil"/>
                <w:bottom w:val="nil"/>
                <w:right w:val="nil"/>
                <w:between w:val="nil"/>
              </w:pBdr>
              <w:spacing w:after="0" w:line="240" w:lineRule="auto"/>
              <w:jc w:val="center"/>
              <w:rPr>
                <w:rFonts w:ascii="Arial" w:eastAsia="Arial" w:hAnsi="Arial" w:cs="Arial"/>
                <w:b/>
              </w:rPr>
            </w:pPr>
          </w:p>
          <w:p w14:paraId="1DC9E9FC" w14:textId="77777777" w:rsidR="00041DB8" w:rsidRDefault="00041DB8">
            <w:pPr>
              <w:widowControl w:val="0"/>
              <w:pBdr>
                <w:top w:val="nil"/>
                <w:left w:val="nil"/>
                <w:bottom w:val="nil"/>
                <w:right w:val="nil"/>
                <w:between w:val="nil"/>
              </w:pBdr>
              <w:spacing w:after="0" w:line="240" w:lineRule="auto"/>
              <w:jc w:val="center"/>
              <w:rPr>
                <w:rFonts w:ascii="Arial" w:eastAsia="Arial" w:hAnsi="Arial" w:cs="Arial"/>
                <w:b/>
              </w:rPr>
            </w:pPr>
          </w:p>
          <w:p w14:paraId="4EA433CA" w14:textId="77777777" w:rsidR="008D7166" w:rsidRDefault="00233308">
            <w:pPr>
              <w:widowControl w:val="0"/>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ÓSCAR DARÍO PÉREZ PINEDA</w:t>
            </w:r>
          </w:p>
          <w:p w14:paraId="0C63B283" w14:textId="77777777" w:rsidR="008D7166" w:rsidRDefault="00233308">
            <w:pPr>
              <w:widowControl w:val="0"/>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Representante a la Cámara</w:t>
            </w:r>
          </w:p>
        </w:tc>
        <w:tc>
          <w:tcPr>
            <w:tcW w:w="4419" w:type="dxa"/>
            <w:shd w:val="clear" w:color="auto" w:fill="auto"/>
            <w:tcMar>
              <w:top w:w="100" w:type="dxa"/>
              <w:left w:w="100" w:type="dxa"/>
              <w:bottom w:w="100" w:type="dxa"/>
              <w:right w:w="100" w:type="dxa"/>
            </w:tcMar>
          </w:tcPr>
          <w:p w14:paraId="67C4152B" w14:textId="77777777" w:rsidR="008D7166" w:rsidRDefault="008D7166">
            <w:pPr>
              <w:widowControl w:val="0"/>
              <w:pBdr>
                <w:top w:val="nil"/>
                <w:left w:val="nil"/>
                <w:bottom w:val="nil"/>
                <w:right w:val="nil"/>
                <w:between w:val="nil"/>
              </w:pBdr>
              <w:spacing w:after="0" w:line="240" w:lineRule="auto"/>
              <w:jc w:val="center"/>
              <w:rPr>
                <w:rFonts w:ascii="Arial" w:eastAsia="Arial" w:hAnsi="Arial" w:cs="Arial"/>
                <w:b/>
              </w:rPr>
            </w:pPr>
          </w:p>
          <w:p w14:paraId="686CFAB2" w14:textId="77777777" w:rsidR="008D7166" w:rsidRDefault="008D7166">
            <w:pPr>
              <w:widowControl w:val="0"/>
              <w:pBdr>
                <w:top w:val="nil"/>
                <w:left w:val="nil"/>
                <w:bottom w:val="nil"/>
                <w:right w:val="nil"/>
                <w:between w:val="nil"/>
              </w:pBdr>
              <w:spacing w:after="0" w:line="240" w:lineRule="auto"/>
              <w:jc w:val="center"/>
              <w:rPr>
                <w:rFonts w:ascii="Arial" w:eastAsia="Arial" w:hAnsi="Arial" w:cs="Arial"/>
                <w:b/>
              </w:rPr>
            </w:pPr>
          </w:p>
          <w:p w14:paraId="37DA63F8" w14:textId="77777777" w:rsidR="008D7166" w:rsidRDefault="008D7166">
            <w:pPr>
              <w:widowControl w:val="0"/>
              <w:pBdr>
                <w:top w:val="nil"/>
                <w:left w:val="nil"/>
                <w:bottom w:val="nil"/>
                <w:right w:val="nil"/>
                <w:between w:val="nil"/>
              </w:pBdr>
              <w:spacing w:after="0" w:line="240" w:lineRule="auto"/>
              <w:jc w:val="center"/>
              <w:rPr>
                <w:rFonts w:ascii="Arial" w:eastAsia="Arial" w:hAnsi="Arial" w:cs="Arial"/>
                <w:b/>
              </w:rPr>
            </w:pPr>
          </w:p>
          <w:p w14:paraId="5039EABF" w14:textId="77777777" w:rsidR="008D7166" w:rsidRDefault="008D7166">
            <w:pPr>
              <w:widowControl w:val="0"/>
              <w:pBdr>
                <w:top w:val="nil"/>
                <w:left w:val="nil"/>
                <w:bottom w:val="nil"/>
                <w:right w:val="nil"/>
                <w:between w:val="nil"/>
              </w:pBdr>
              <w:spacing w:after="0" w:line="240" w:lineRule="auto"/>
              <w:jc w:val="center"/>
              <w:rPr>
                <w:rFonts w:ascii="Arial" w:eastAsia="Arial" w:hAnsi="Arial" w:cs="Arial"/>
                <w:b/>
              </w:rPr>
            </w:pPr>
          </w:p>
          <w:p w14:paraId="58EF906E" w14:textId="77777777" w:rsidR="008D7166" w:rsidRDefault="00233308">
            <w:pPr>
              <w:widowControl w:val="0"/>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SONIA SHIRLEY BERNAL SÁNCHEZ</w:t>
            </w:r>
          </w:p>
          <w:p w14:paraId="7984AD24" w14:textId="35C85AE0" w:rsidR="008D7166" w:rsidRDefault="00233308">
            <w:pPr>
              <w:widowControl w:val="0"/>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Senadora de la República</w:t>
            </w:r>
          </w:p>
        </w:tc>
      </w:tr>
    </w:tbl>
    <w:p w14:paraId="194A9D1E" w14:textId="77777777" w:rsidR="008D7166" w:rsidRDefault="008D7166">
      <w:pPr>
        <w:widowControl w:val="0"/>
        <w:spacing w:after="0" w:line="240" w:lineRule="auto"/>
        <w:jc w:val="both"/>
        <w:rPr>
          <w:rFonts w:ascii="Arial" w:eastAsia="Arial" w:hAnsi="Arial" w:cs="Arial"/>
        </w:rPr>
      </w:pPr>
    </w:p>
    <w:p w14:paraId="5E7A548C" w14:textId="77777777" w:rsidR="008D7166" w:rsidRDefault="008D7166">
      <w:pPr>
        <w:spacing w:after="0"/>
        <w:rPr>
          <w:rFonts w:ascii="Verdana" w:eastAsia="Verdana" w:hAnsi="Verdana" w:cs="Verdana"/>
          <w:color w:val="000000"/>
          <w:sz w:val="24"/>
          <w:szCs w:val="24"/>
        </w:rPr>
      </w:pPr>
    </w:p>
    <w:sectPr w:rsidR="008D7166">
      <w:headerReference w:type="default" r:id="rId15"/>
      <w:footerReference w:type="default" r:id="rId16"/>
      <w:pgSz w:w="12240" w:h="15840"/>
      <w:pgMar w:top="708" w:right="1699" w:bottom="1398" w:left="1702" w:header="119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6FB34" w14:textId="77777777" w:rsidR="00233308" w:rsidRDefault="00233308">
      <w:pPr>
        <w:spacing w:after="0" w:line="240" w:lineRule="auto"/>
      </w:pPr>
      <w:r>
        <w:separator/>
      </w:r>
    </w:p>
  </w:endnote>
  <w:endnote w:type="continuationSeparator" w:id="0">
    <w:p w14:paraId="2357372A" w14:textId="77777777" w:rsidR="00233308" w:rsidRDefault="00233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1970D" w14:textId="77777777" w:rsidR="008D7166" w:rsidRDefault="008D7166">
    <w:pPr>
      <w:spacing w:after="0"/>
    </w:pPr>
  </w:p>
  <w:p w14:paraId="0F9CD75F" w14:textId="77777777" w:rsidR="008D7166" w:rsidRDefault="00233308">
    <w:pPr>
      <w:spacing w:after="0"/>
      <w:ind w:left="56"/>
      <w:jc w:val="center"/>
    </w:pPr>
    <w:r>
      <w:rPr>
        <w:noProof/>
        <w:lang w:eastAsia="es-CO"/>
      </w:rPr>
      <w:drawing>
        <wp:inline distT="0" distB="0" distL="0" distR="0" wp14:anchorId="4E318AC2" wp14:editId="5DA51150">
          <wp:extent cx="3114675" cy="266700"/>
          <wp:effectExtent l="0" t="0" r="0" b="0"/>
          <wp:docPr id="5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114675" cy="266700"/>
                  </a:xfrm>
                  <a:prstGeom prst="rect">
                    <a:avLst/>
                  </a:prstGeom>
                  <a:ln/>
                </pic:spPr>
              </pic:pic>
            </a:graphicData>
          </a:graphic>
        </wp:inline>
      </w:drawing>
    </w:r>
  </w:p>
  <w:p w14:paraId="0EFEFE8D" w14:textId="77777777" w:rsidR="008D7166" w:rsidRDefault="00233308">
    <w:pPr>
      <w:spacing w:after="0" w:line="238" w:lineRule="auto"/>
      <w:ind w:right="1529"/>
    </w:pPr>
    <w:r>
      <w:rPr>
        <w:noProof/>
        <w:lang w:eastAsia="es-CO"/>
      </w:rPr>
      <w:drawing>
        <wp:anchor distT="0" distB="0" distL="0" distR="0" simplePos="0" relativeHeight="251659264" behindDoc="1" locked="0" layoutInCell="1" hidden="0" allowOverlap="1" wp14:anchorId="209605ED" wp14:editId="366E2319">
          <wp:simplePos x="0" y="0"/>
          <wp:positionH relativeFrom="column">
            <wp:posOffset>-695320</wp:posOffset>
          </wp:positionH>
          <wp:positionV relativeFrom="paragraph">
            <wp:posOffset>685800</wp:posOffset>
          </wp:positionV>
          <wp:extent cx="3886200" cy="1617980"/>
          <wp:effectExtent l="0" t="0" r="0" b="0"/>
          <wp:wrapNone/>
          <wp:docPr id="52" name="image3.jpg" descr="C:\Users\maria.pizarro\Pictures\0c8958d3-99ad-4508-8533-4422be868cde.jpg"/>
          <wp:cNvGraphicFramePr/>
          <a:graphic xmlns:a="http://schemas.openxmlformats.org/drawingml/2006/main">
            <a:graphicData uri="http://schemas.openxmlformats.org/drawingml/2006/picture">
              <pic:pic xmlns:pic="http://schemas.openxmlformats.org/drawingml/2006/picture">
                <pic:nvPicPr>
                  <pic:cNvPr id="0" name="image3.jpg" descr="C:\Users\maria.pizarro\Pictures\0c8958d3-99ad-4508-8533-4422be868cde.jpg"/>
                  <pic:cNvPicPr preferRelativeResize="0"/>
                </pic:nvPicPr>
                <pic:blipFill>
                  <a:blip r:embed="rId2"/>
                  <a:srcRect/>
                  <a:stretch>
                    <a:fillRect/>
                  </a:stretch>
                </pic:blipFill>
                <pic:spPr>
                  <a:xfrm>
                    <a:off x="0" y="0"/>
                    <a:ext cx="3886200" cy="1617980"/>
                  </a:xfrm>
                  <a:prstGeom prst="rect">
                    <a:avLst/>
                  </a:prstGeom>
                  <a:ln/>
                </pic:spPr>
              </pic:pic>
            </a:graphicData>
          </a:graphic>
        </wp:anchor>
      </w:drawing>
    </w:r>
    <w:r>
      <w:rPr>
        <w:noProof/>
        <w:lang w:eastAsia="es-CO"/>
      </w:rPr>
      <w:drawing>
        <wp:anchor distT="0" distB="0" distL="0" distR="0" simplePos="0" relativeHeight="251660288" behindDoc="1" locked="0" layoutInCell="1" hidden="0" allowOverlap="1" wp14:anchorId="3A45534B" wp14:editId="10993C97">
          <wp:simplePos x="0" y="0"/>
          <wp:positionH relativeFrom="column">
            <wp:posOffset>-695320</wp:posOffset>
          </wp:positionH>
          <wp:positionV relativeFrom="paragraph">
            <wp:posOffset>695325</wp:posOffset>
          </wp:positionV>
          <wp:extent cx="3886200" cy="1617980"/>
          <wp:effectExtent l="0" t="0" r="0" b="0"/>
          <wp:wrapNone/>
          <wp:docPr id="53" name="image3.jpg" descr="C:\Users\maria.pizarro\Pictures\0c8958d3-99ad-4508-8533-4422be868cde.jpg"/>
          <wp:cNvGraphicFramePr/>
          <a:graphic xmlns:a="http://schemas.openxmlformats.org/drawingml/2006/main">
            <a:graphicData uri="http://schemas.openxmlformats.org/drawingml/2006/picture">
              <pic:pic xmlns:pic="http://schemas.openxmlformats.org/drawingml/2006/picture">
                <pic:nvPicPr>
                  <pic:cNvPr id="0" name="image3.jpg" descr="C:\Users\maria.pizarro\Pictures\0c8958d3-99ad-4508-8533-4422be868cde.jpg"/>
                  <pic:cNvPicPr preferRelativeResize="0"/>
                </pic:nvPicPr>
                <pic:blipFill>
                  <a:blip r:embed="rId2"/>
                  <a:srcRect/>
                  <a:stretch>
                    <a:fillRect/>
                  </a:stretch>
                </pic:blipFill>
                <pic:spPr>
                  <a:xfrm>
                    <a:off x="0" y="0"/>
                    <a:ext cx="3886200" cy="1617980"/>
                  </a:xfrm>
                  <a:prstGeom prst="rect">
                    <a:avLst/>
                  </a:prstGeom>
                  <a:ln/>
                </pic:spPr>
              </pic:pic>
            </a:graphicData>
          </a:graphic>
        </wp:anchor>
      </w:drawing>
    </w:r>
    <w:r>
      <w:rPr>
        <w:noProof/>
        <w:lang w:eastAsia="es-CO"/>
      </w:rPr>
      <w:drawing>
        <wp:anchor distT="0" distB="0" distL="0" distR="0" simplePos="0" relativeHeight="251661312" behindDoc="1" locked="0" layoutInCell="1" hidden="0" allowOverlap="1" wp14:anchorId="61B62640" wp14:editId="23E64456">
          <wp:simplePos x="0" y="0"/>
          <wp:positionH relativeFrom="column">
            <wp:posOffset>-714370</wp:posOffset>
          </wp:positionH>
          <wp:positionV relativeFrom="paragraph">
            <wp:posOffset>828675</wp:posOffset>
          </wp:positionV>
          <wp:extent cx="3886200" cy="1617980"/>
          <wp:effectExtent l="0" t="0" r="0" b="0"/>
          <wp:wrapNone/>
          <wp:docPr id="54" name="image3.jpg" descr="C:\Users\maria.pizarro\Pictures\0c8958d3-99ad-4508-8533-4422be868cde.jpg"/>
          <wp:cNvGraphicFramePr/>
          <a:graphic xmlns:a="http://schemas.openxmlformats.org/drawingml/2006/main">
            <a:graphicData uri="http://schemas.openxmlformats.org/drawingml/2006/picture">
              <pic:pic xmlns:pic="http://schemas.openxmlformats.org/drawingml/2006/picture">
                <pic:nvPicPr>
                  <pic:cNvPr id="0" name="image3.jpg" descr="C:\Users\maria.pizarro\Pictures\0c8958d3-99ad-4508-8533-4422be868cde.jpg"/>
                  <pic:cNvPicPr preferRelativeResize="0"/>
                </pic:nvPicPr>
                <pic:blipFill>
                  <a:blip r:embed="rId2"/>
                  <a:srcRect/>
                  <a:stretch>
                    <a:fillRect/>
                  </a:stretch>
                </pic:blipFill>
                <pic:spPr>
                  <a:xfrm>
                    <a:off x="0" y="0"/>
                    <a:ext cx="3886200" cy="161798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91175" w14:textId="77777777" w:rsidR="00233308" w:rsidRDefault="00233308">
      <w:pPr>
        <w:spacing w:after="0" w:line="240" w:lineRule="auto"/>
      </w:pPr>
      <w:r>
        <w:separator/>
      </w:r>
    </w:p>
  </w:footnote>
  <w:footnote w:type="continuationSeparator" w:id="0">
    <w:p w14:paraId="5515C628" w14:textId="77777777" w:rsidR="00233308" w:rsidRDefault="00233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E7E86" w14:textId="77777777" w:rsidR="008D7166" w:rsidRDefault="00233308">
    <w:pPr>
      <w:pBdr>
        <w:top w:val="nil"/>
        <w:left w:val="nil"/>
        <w:bottom w:val="nil"/>
        <w:right w:val="nil"/>
        <w:between w:val="nil"/>
      </w:pBdr>
      <w:tabs>
        <w:tab w:val="center" w:pos="4419"/>
        <w:tab w:val="right" w:pos="8838"/>
        <w:tab w:val="left" w:pos="870"/>
      </w:tabs>
      <w:spacing w:after="0" w:line="240" w:lineRule="auto"/>
      <w:rPr>
        <w:color w:val="000000"/>
      </w:rPr>
    </w:pPr>
    <w:r>
      <w:rPr>
        <w:color w:val="000000"/>
      </w:rPr>
      <w:tab/>
    </w:r>
    <w:r>
      <w:rPr>
        <w:noProof/>
        <w:lang w:eastAsia="es-CO"/>
      </w:rPr>
      <w:drawing>
        <wp:anchor distT="0" distB="0" distL="0" distR="0" simplePos="0" relativeHeight="251658240" behindDoc="1" locked="0" layoutInCell="1" hidden="0" allowOverlap="1" wp14:anchorId="28C918E2" wp14:editId="45CC6AFF">
          <wp:simplePos x="0" y="0"/>
          <wp:positionH relativeFrom="column">
            <wp:posOffset>1744345</wp:posOffset>
          </wp:positionH>
          <wp:positionV relativeFrom="paragraph">
            <wp:posOffset>-523871</wp:posOffset>
          </wp:positionV>
          <wp:extent cx="2125980" cy="626745"/>
          <wp:effectExtent l="0" t="0" r="0" b="0"/>
          <wp:wrapNone/>
          <wp:docPr id="51" name="image4.png" descr="Home"/>
          <wp:cNvGraphicFramePr/>
          <a:graphic xmlns:a="http://schemas.openxmlformats.org/drawingml/2006/main">
            <a:graphicData uri="http://schemas.openxmlformats.org/drawingml/2006/picture">
              <pic:pic xmlns:pic="http://schemas.openxmlformats.org/drawingml/2006/picture">
                <pic:nvPicPr>
                  <pic:cNvPr id="0" name="image4.png" descr="Home"/>
                  <pic:cNvPicPr preferRelativeResize="0"/>
                </pic:nvPicPr>
                <pic:blipFill>
                  <a:blip r:embed="rId1"/>
                  <a:srcRect/>
                  <a:stretch>
                    <a:fillRect/>
                  </a:stretch>
                </pic:blipFill>
                <pic:spPr>
                  <a:xfrm>
                    <a:off x="0" y="0"/>
                    <a:ext cx="2125980" cy="62674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166"/>
    <w:rsid w:val="00041DB8"/>
    <w:rsid w:val="00233308"/>
    <w:rsid w:val="00312DFA"/>
    <w:rsid w:val="00366A72"/>
    <w:rsid w:val="007802DF"/>
    <w:rsid w:val="008D7166"/>
    <w:rsid w:val="009B0303"/>
    <w:rsid w:val="009B43D6"/>
    <w:rsid w:val="00B00C6C"/>
    <w:rsid w:val="00DC7E88"/>
    <w:rsid w:val="00FB263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A0548"/>
  <w15:docId w15:val="{15A49695-A50C-4142-8CB8-57DB5CBCA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C77F1C"/>
    <w:pPr>
      <w:tabs>
        <w:tab w:val="center" w:pos="4320"/>
        <w:tab w:val="right" w:pos="8640"/>
      </w:tabs>
      <w:spacing w:after="0" w:line="240" w:lineRule="auto"/>
    </w:pPr>
  </w:style>
  <w:style w:type="character" w:customStyle="1" w:styleId="EncabezadoCar">
    <w:name w:val="Encabezado Car"/>
    <w:basedOn w:val="Fuentedeprrafopredeter"/>
    <w:link w:val="Encabezado"/>
    <w:uiPriority w:val="99"/>
    <w:rsid w:val="00C77F1C"/>
  </w:style>
  <w:style w:type="paragraph" w:styleId="Piedepgina">
    <w:name w:val="footer"/>
    <w:basedOn w:val="Normal"/>
    <w:link w:val="PiedepginaCar"/>
    <w:uiPriority w:val="99"/>
    <w:unhideWhenUsed/>
    <w:rsid w:val="00C77F1C"/>
    <w:pPr>
      <w:tabs>
        <w:tab w:val="center" w:pos="4320"/>
        <w:tab w:val="right" w:pos="8640"/>
      </w:tabs>
      <w:spacing w:after="0" w:line="240" w:lineRule="auto"/>
    </w:pPr>
  </w:style>
  <w:style w:type="character" w:customStyle="1" w:styleId="PiedepginaCar">
    <w:name w:val="Pie de página Car"/>
    <w:basedOn w:val="Fuentedeprrafopredeter"/>
    <w:link w:val="Piedepgina"/>
    <w:uiPriority w:val="99"/>
    <w:rsid w:val="00C77F1C"/>
  </w:style>
  <w:style w:type="character" w:styleId="Hipervnculo">
    <w:name w:val="Hyperlink"/>
    <w:basedOn w:val="Fuentedeprrafopredeter"/>
    <w:uiPriority w:val="99"/>
    <w:unhideWhenUsed/>
    <w:rsid w:val="004271EF"/>
    <w:rPr>
      <w:color w:val="0000FF" w:themeColor="hyperlink"/>
      <w:u w:val="single"/>
    </w:rPr>
  </w:style>
  <w:style w:type="paragraph" w:styleId="Prrafodelista">
    <w:name w:val="List Paragraph"/>
    <w:basedOn w:val="Normal"/>
    <w:uiPriority w:val="34"/>
    <w:qFormat/>
    <w:rsid w:val="008E6B7E"/>
    <w:pPr>
      <w:ind w:left="720"/>
      <w:contextualSpacing/>
    </w:pPr>
  </w:style>
  <w:style w:type="table" w:customStyle="1" w:styleId="Tablaconcuadrcula1">
    <w:name w:val="Tabla con cuadrícula1"/>
    <w:basedOn w:val="Tablanormal"/>
    <w:next w:val="Tablaconcuadrcula"/>
    <w:uiPriority w:val="39"/>
    <w:rsid w:val="00B6551B"/>
    <w:pPr>
      <w:spacing w:after="0" w:line="240" w:lineRule="auto"/>
    </w:pPr>
    <w:rPr>
      <w:rFonts w:eastAsia="DengXian" w:cs="Arial"/>
      <w:lang w:val="es-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B65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833DE3"/>
    <w:rPr>
      <w:color w:val="605E5C"/>
      <w:shd w:val="clear" w:color="auto" w:fill="E1DFDD"/>
    </w:rPr>
  </w:style>
  <w:style w:type="character" w:customStyle="1" w:styleId="markedcontent">
    <w:name w:val="markedcontent"/>
    <w:basedOn w:val="Fuentedeprrafopredeter"/>
    <w:rsid w:val="00821DEC"/>
  </w:style>
  <w:style w:type="table" w:customStyle="1" w:styleId="a">
    <w:basedOn w:val="TableNormal4"/>
    <w:tblPr>
      <w:tblStyleRowBandSize w:val="1"/>
      <w:tblStyleColBandSize w:val="1"/>
      <w:tblCellMar>
        <w:top w:w="100" w:type="dxa"/>
        <w:left w:w="100" w:type="dxa"/>
        <w:bottom w:w="100" w:type="dxa"/>
        <w:right w:w="100" w:type="dxa"/>
      </w:tblCellMar>
    </w:tblPr>
  </w:style>
  <w:style w:type="table" w:customStyle="1" w:styleId="a0">
    <w:basedOn w:val="TableNormal4"/>
    <w:tblPr>
      <w:tblStyleRowBandSize w:val="1"/>
      <w:tblStyleColBandSize w:val="1"/>
      <w:tblCellMar>
        <w:top w:w="100" w:type="dxa"/>
        <w:left w:w="100" w:type="dxa"/>
        <w:bottom w:w="100" w:type="dxa"/>
        <w:right w:w="100" w:type="dxa"/>
      </w:tblCellMar>
    </w:tblPr>
  </w:style>
  <w:style w:type="table" w:customStyle="1" w:styleId="a1">
    <w:basedOn w:val="TableNormal4"/>
    <w:tblPr>
      <w:tblStyleRowBandSize w:val="1"/>
      <w:tblStyleColBandSize w:val="1"/>
      <w:tblCellMar>
        <w:top w:w="100" w:type="dxa"/>
        <w:left w:w="100" w:type="dxa"/>
        <w:bottom w:w="100" w:type="dxa"/>
        <w:right w:w="100" w:type="dxa"/>
      </w:tblCellMar>
    </w:tblPr>
  </w:style>
  <w:style w:type="table" w:customStyle="1" w:styleId="a2">
    <w:basedOn w:val="TableNormal4"/>
    <w:tblPr>
      <w:tblStyleRowBandSize w:val="1"/>
      <w:tblStyleColBandSize w:val="1"/>
      <w:tblCellMar>
        <w:top w:w="100" w:type="dxa"/>
        <w:left w:w="100" w:type="dxa"/>
        <w:bottom w:w="100" w:type="dxa"/>
        <w:right w:w="100" w:type="dxa"/>
      </w:tblCellMar>
    </w:tblPr>
  </w:style>
  <w:style w:type="table" w:customStyle="1" w:styleId="a3">
    <w:basedOn w:val="TableNormal4"/>
    <w:tblPr>
      <w:tblStyleRowBandSize w:val="1"/>
      <w:tblStyleColBandSize w:val="1"/>
      <w:tblCellMar>
        <w:top w:w="100" w:type="dxa"/>
        <w:left w:w="100" w:type="dxa"/>
        <w:bottom w:w="100" w:type="dxa"/>
        <w:right w:w="100" w:type="dxa"/>
      </w:tblCellMar>
    </w:tblPr>
  </w:style>
  <w:style w:type="table" w:customStyle="1" w:styleId="a4">
    <w:basedOn w:val="TableNormal4"/>
    <w:tblPr>
      <w:tblStyleRowBandSize w:val="1"/>
      <w:tblStyleColBandSize w:val="1"/>
      <w:tblCellMar>
        <w:top w:w="100" w:type="dxa"/>
        <w:left w:w="100" w:type="dxa"/>
        <w:bottom w:w="100" w:type="dxa"/>
        <w:right w:w="100" w:type="dxa"/>
      </w:tblCellMar>
    </w:tblPr>
  </w:style>
  <w:style w:type="table" w:customStyle="1" w:styleId="a5">
    <w:basedOn w:val="TableNormal4"/>
    <w:tblPr>
      <w:tblStyleRowBandSize w:val="1"/>
      <w:tblStyleColBandSize w:val="1"/>
      <w:tblCellMar>
        <w:top w:w="100" w:type="dxa"/>
        <w:left w:w="100" w:type="dxa"/>
        <w:bottom w:w="100" w:type="dxa"/>
        <w:right w:w="100" w:type="dxa"/>
      </w:tblCellMar>
    </w:tblPr>
  </w:style>
  <w:style w:type="table" w:customStyle="1" w:styleId="a6">
    <w:basedOn w:val="TableNormal4"/>
    <w:tblPr>
      <w:tblStyleRowBandSize w:val="1"/>
      <w:tblStyleColBandSize w:val="1"/>
      <w:tblCellMar>
        <w:top w:w="100" w:type="dxa"/>
        <w:left w:w="100" w:type="dxa"/>
        <w:bottom w:w="100" w:type="dxa"/>
        <w:right w:w="100" w:type="dxa"/>
      </w:tblCellMar>
    </w:tblPr>
  </w:style>
  <w:style w:type="table" w:customStyle="1" w:styleId="a7">
    <w:basedOn w:val="TableNormal4"/>
    <w:tblPr>
      <w:tblStyleRowBandSize w:val="1"/>
      <w:tblStyleColBandSize w:val="1"/>
      <w:tblCellMar>
        <w:top w:w="100" w:type="dxa"/>
        <w:left w:w="100" w:type="dxa"/>
        <w:bottom w:w="100" w:type="dxa"/>
        <w:right w:w="100" w:type="dxa"/>
      </w:tblCellMar>
    </w:tblPr>
  </w:style>
  <w:style w:type="table" w:customStyle="1" w:styleId="a8">
    <w:basedOn w:val="TableNormal4"/>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amara.gov.co/representantes/carmen-felisa-ramirez-boscan" TargetMode="External"/><Relationship Id="rId13" Type="http://schemas.openxmlformats.org/officeDocument/2006/relationships/hyperlink" Target="https://www.camara.gov.co/representantes/karen-juliana-lopez-salaza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amara.gov.co/representantes/mary-anne-andrea-perdomo" TargetMode="External"/><Relationship Id="rId12" Type="http://schemas.openxmlformats.org/officeDocument/2006/relationships/hyperlink" Target="https://www.camara.gov.co/representantes/juan-carlos-vargas-sole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amara.gov.co/representantes/gabriel-becerra-yanez"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camara.gov.co/representantes/david-ricardo-racero-mayorca" TargetMode="External"/><Relationship Id="rId4" Type="http://schemas.openxmlformats.org/officeDocument/2006/relationships/webSettings" Target="webSettings.xml"/><Relationship Id="rId9" Type="http://schemas.openxmlformats.org/officeDocument/2006/relationships/hyperlink" Target="https://www.camara.gov.co/representantes/jorge-alejandro-ocampo-giraldo" TargetMode="External"/><Relationship Id="rId14" Type="http://schemas.openxmlformats.org/officeDocument/2006/relationships/hyperlink" Target="https://www.camara.gov.co/representantes/hernando-gonzalez"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G6VuonlBN3VP+UYqxdQLAGURQ==">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4163</Words>
  <Characters>22898</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maria.pizarro</dc:creator>
  <cp:lastModifiedBy>Alex Fabian Castillo Rojas</cp:lastModifiedBy>
  <cp:revision>2</cp:revision>
  <cp:lastPrinted>2024-06-14T16:42:00Z</cp:lastPrinted>
  <dcterms:created xsi:type="dcterms:W3CDTF">2024-06-14T18:55:00Z</dcterms:created>
  <dcterms:modified xsi:type="dcterms:W3CDTF">2024-06-14T18:55:00Z</dcterms:modified>
</cp:coreProperties>
</file>